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40" w:hanging="0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 xml:space="preserve">Assignment &amp; Important Additional Question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How do you determine a person can be considered as a Resident and Ordinarily Resident?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How do you determine a person can be considered as a Resident but not Ordinarily Resident?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What are the deduction allowed from Annual Value of house property while computing the income from House Property 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briefly the exemptions available u/s 10 with reference to any 6 items.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Define the term “person” and “assessee” under the income tax act.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Define the following: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Assessment Year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Financial Year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Agricultural Income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Gross Total Income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Net Total Income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Person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Income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Assessee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Casual Income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Assessment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the merits of Direct Tax System.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Distinguish between ‘Taxable profit’ and ‘Commercial profit’.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Write short note on exempt income and entertainment allowance.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the consequences of not filling Income Tax Return.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What is Tax deducted at Source?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are the advantages of TDS 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Distinguish Tax Evasion, Tax Avoidance and tax planning.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Is it compulsory to file a return of income? What is the time limit for submission of the return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of income?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are the different categories of persons according to their legal status? Give an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illustration of each.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do you understand by Permanent Account Number? Mention the transactions where quoting of PAN is compulsory.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Give the due dates of payment of Advance Tax in case of companies and in case of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Assessees other than companies.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Enumerate the provisions of “set-off and carry forward losses” as contemplated under the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Income Tax Act in respect of different types of business activities.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is self-assessment? What are the consequences of non-payment of tax on “Self-assessment”?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Explain the following :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(a) Return of loss; (b) Belated return; (c) Revised return; and (d) Voluntary return.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lang w:val="en-GB"/>
        </w:rPr>
        <w:t>21. Briefly explain the deductions with respect to Long Term Capital Gains  u/s 54, 54B, 54EC.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f808f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d3e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508-DE7F-4485-B66B-3C23542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LibreOffice/6.0.7.3$Linux_X86_64 LibreOffice_project/00m0$Build-3</Application>
  <Pages>3</Pages>
  <Words>330</Words>
  <Characters>1656</Characters>
  <CharactersWithSpaces>1921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2019-11-19T03:42:00Z</dcterms:created>
  <dc:creator>Parshva Shah</dc:creator>
  <dc:description/>
  <dc:language>en-IN</dc:language>
  <cp:lastModifiedBy/>
  <dcterms:modified xsi:type="dcterms:W3CDTF">2022-08-23T16:45:44Z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