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bookmarkStart w:id="24" w:name="_GoBack"/>
      <w:bookmarkEnd w:id="24"/>
    </w:p>
    <w:p>
      <w:pPr>
        <w:pStyle w:val="6"/>
        <w:rPr>
          <w:rFonts w:ascii="Times New Roman"/>
          <w:sz w:val="20"/>
        </w:rPr>
      </w:pPr>
    </w:p>
    <w:p>
      <w:pPr>
        <w:pStyle w:val="6"/>
        <w:rPr>
          <w:rFonts w:ascii="Times New Roman"/>
          <w:sz w:val="20"/>
        </w:rPr>
      </w:pPr>
    </w:p>
    <w:p>
      <w:pPr>
        <w:pStyle w:val="6"/>
        <w:rPr>
          <w:rFonts w:ascii="Times New Roman"/>
          <w:sz w:val="20"/>
        </w:rPr>
      </w:pPr>
    </w:p>
    <w:p>
      <w:pPr>
        <w:pStyle w:val="2"/>
        <w:spacing w:before="213" w:line="398" w:lineRule="auto"/>
        <w:ind w:right="2933"/>
      </w:pPr>
      <w:bookmarkStart w:id="0" w:name="Name of Institute: Indus Institute of Ma"/>
      <w:bookmarkEnd w:id="0"/>
      <w:r>
        <w:rPr>
          <w:color w:val="C00000"/>
        </w:rPr>
        <w:t>Name of Institute: Indus Institute of Management Studies (IIMS)</w:t>
      </w:r>
      <w:bookmarkStart w:id="1" w:name="Name of Faculty: Dr.Rajesh Ojha"/>
      <w:bookmarkEnd w:id="1"/>
      <w:r>
        <w:rPr>
          <w:color w:val="C00000"/>
        </w:rPr>
        <w:t xml:space="preserve"> Name of Faculty: Dr.Rajesh Ojha</w:t>
      </w:r>
    </w:p>
    <w:p>
      <w:pPr>
        <w:pStyle w:val="6"/>
        <w:rPr>
          <w:b/>
          <w:sz w:val="26"/>
        </w:rPr>
      </w:pPr>
    </w:p>
    <w:p>
      <w:pPr>
        <w:pStyle w:val="6"/>
        <w:rPr>
          <w:b/>
          <w:sz w:val="26"/>
        </w:rPr>
      </w:pPr>
    </w:p>
    <w:p>
      <w:pPr>
        <w:pStyle w:val="6"/>
        <w:spacing w:before="6"/>
        <w:rPr>
          <w:b/>
          <w:sz w:val="27"/>
        </w:rPr>
      </w:pPr>
    </w:p>
    <w:p>
      <w:pPr>
        <w:spacing w:before="0"/>
        <w:ind w:left="113" w:right="0" w:firstLine="0"/>
        <w:jc w:val="left"/>
        <w:rPr>
          <w:b/>
          <w:sz w:val="24"/>
        </w:rPr>
      </w:pPr>
      <w:r>
        <w:rPr>
          <w:b/>
          <w:color w:val="0033CC"/>
          <w:sz w:val="24"/>
        </w:rPr>
        <w:t>Course code: MB0422</w:t>
      </w:r>
    </w:p>
    <w:p>
      <w:pPr>
        <w:spacing w:before="182"/>
        <w:ind w:left="113" w:right="0" w:firstLine="0"/>
        <w:jc w:val="left"/>
        <w:rPr>
          <w:b/>
          <w:sz w:val="24"/>
        </w:rPr>
      </w:pPr>
      <w:r>
        <w:rPr>
          <w:b/>
          <w:color w:val="0033CC"/>
          <w:sz w:val="24"/>
        </w:rPr>
        <w:t>Course name: FINANCIAL MARKETS &amp; SERVICES</w:t>
      </w:r>
    </w:p>
    <w:p>
      <w:pPr>
        <w:pStyle w:val="6"/>
        <w:spacing w:before="184" w:line="398" w:lineRule="auto"/>
        <w:ind w:left="113" w:right="6945" w:firstLine="21"/>
      </w:pPr>
      <w:r>
        <w:t>Pre-requisites: Graduation Credit points: 3 Credits Offered Semester: IV</w:t>
      </w:r>
    </w:p>
    <w:p>
      <w:pPr>
        <w:pStyle w:val="6"/>
        <w:rPr>
          <w:sz w:val="26"/>
        </w:rPr>
      </w:pPr>
    </w:p>
    <w:p>
      <w:pPr>
        <w:pStyle w:val="6"/>
        <w:rPr>
          <w:sz w:val="26"/>
        </w:rPr>
      </w:pPr>
    </w:p>
    <w:p>
      <w:pPr>
        <w:pStyle w:val="6"/>
        <w:spacing w:before="4"/>
        <w:rPr>
          <w:sz w:val="27"/>
        </w:rPr>
      </w:pPr>
    </w:p>
    <w:p>
      <w:pPr>
        <w:pStyle w:val="2"/>
      </w:pPr>
      <w:r>
        <w:t>Course Lecturer (Weeks 01 – 15)</w:t>
      </w:r>
    </w:p>
    <w:p>
      <w:pPr>
        <w:pStyle w:val="6"/>
        <w:spacing w:before="182"/>
        <w:ind w:left="113"/>
      </w:pPr>
      <w:r>
        <w:t>Full name: Dr. Rajesh Ojha</w:t>
      </w:r>
    </w:p>
    <w:p>
      <w:pPr>
        <w:pStyle w:val="6"/>
        <w:spacing w:before="183" w:line="398" w:lineRule="auto"/>
        <w:ind w:left="113" w:right="3423"/>
      </w:pPr>
      <w:r>
        <w:t xml:space="preserve">Department with sitting location: IIMS , Management Telephone: (M) 8200991625 </w:t>
      </w:r>
      <w:r>
        <w:fldChar w:fldCharType="begin"/>
      </w:r>
      <w:r>
        <w:instrText xml:space="preserve"> HYPERLINK "mailto:rajeshojha.mba@indusuni.ac.in" \h </w:instrText>
      </w:r>
      <w:r>
        <w:fldChar w:fldCharType="separate"/>
      </w:r>
      <w:r>
        <w:t>Email:rajeshojha.mba@indusuni.ac.in</w:t>
      </w:r>
      <w:r>
        <w:fldChar w:fldCharType="end"/>
      </w:r>
    </w:p>
    <w:p>
      <w:pPr>
        <w:pStyle w:val="6"/>
        <w:spacing w:line="274" w:lineRule="exact"/>
        <w:ind w:left="113"/>
      </w:pPr>
      <w:r>
        <w:t>Consultation times: 4.00pm to</w:t>
      </w:r>
      <w:r>
        <w:rPr>
          <w:spacing w:val="-15"/>
        </w:rPr>
        <w:t xml:space="preserve"> </w:t>
      </w:r>
      <w:r>
        <w:t>5.00pm</w:t>
      </w:r>
    </w:p>
    <w:p>
      <w:pPr>
        <w:pStyle w:val="6"/>
        <w:rPr>
          <w:sz w:val="26"/>
        </w:rPr>
      </w:pPr>
    </w:p>
    <w:p>
      <w:pPr>
        <w:pStyle w:val="6"/>
        <w:spacing w:before="8"/>
        <w:rPr>
          <w:sz w:val="29"/>
        </w:rPr>
      </w:pPr>
    </w:p>
    <w:p>
      <w:pPr>
        <w:pStyle w:val="6"/>
        <w:spacing w:before="1" w:line="259" w:lineRule="auto"/>
        <w:ind w:left="113" w:right="662"/>
      </w:pPr>
      <w:r>
        <w:t>Students will be contacted throughout the Session via Mail with important information relating to this Course.</w:t>
      </w:r>
    </w:p>
    <w:p>
      <w:pPr>
        <w:pStyle w:val="6"/>
        <w:rPr>
          <w:sz w:val="26"/>
        </w:rPr>
      </w:pPr>
    </w:p>
    <w:p>
      <w:pPr>
        <w:pStyle w:val="2"/>
        <w:spacing w:before="180"/>
      </w:pPr>
      <w:bookmarkStart w:id="2" w:name="Course Objectives"/>
      <w:bookmarkEnd w:id="2"/>
      <w:r>
        <w:rPr>
          <w:color w:val="365F91"/>
        </w:rPr>
        <w:t>Course Objectives</w:t>
      </w:r>
    </w:p>
    <w:p>
      <w:pPr>
        <w:pStyle w:val="6"/>
        <w:spacing w:before="183"/>
        <w:ind w:left="113"/>
      </w:pPr>
      <w:r>
        <w:t>By participating in and understanding all facets of this Course a student will:</w:t>
      </w:r>
    </w:p>
    <w:p>
      <w:pPr>
        <w:pStyle w:val="6"/>
        <w:spacing w:before="180"/>
        <w:ind w:left="113"/>
      </w:pPr>
      <w:r>
        <w:t>To enable the students to acquire basic understanding of the structure, organization and functioning of the Financial System in India.</w:t>
      </w:r>
    </w:p>
    <w:p>
      <w:pPr>
        <w:pStyle w:val="6"/>
        <w:spacing w:before="201"/>
        <w:ind w:left="113"/>
      </w:pPr>
      <w:r>
        <w:t>The course also aims at exposing the students to new financial instruments and their implications in the existing regulatory framework.</w:t>
      </w:r>
    </w:p>
    <w:p>
      <w:pPr>
        <w:spacing w:after="0"/>
        <w:sectPr>
          <w:headerReference r:id="rId5" w:type="default"/>
          <w:footerReference r:id="rId6" w:type="default"/>
          <w:type w:val="continuous"/>
          <w:pgSz w:w="11900" w:h="16850"/>
          <w:pgMar w:top="1060" w:right="600" w:bottom="1340" w:left="1020" w:header="284" w:footer="1149" w:gutter="0"/>
          <w:pgNumType w:start="1"/>
          <w:cols w:space="720" w:num="1"/>
        </w:sectPr>
      </w:pPr>
    </w:p>
    <w:p>
      <w:pPr>
        <w:pStyle w:val="6"/>
        <w:spacing w:before="3"/>
        <w:rPr>
          <w:sz w:val="19"/>
        </w:rPr>
      </w:pPr>
    </w:p>
    <w:p>
      <w:pPr>
        <w:pStyle w:val="2"/>
        <w:spacing w:before="93"/>
      </w:pPr>
      <w:bookmarkStart w:id="3" w:name="Course Outcomes (CO)"/>
      <w:bookmarkEnd w:id="3"/>
      <w:r>
        <w:rPr>
          <w:color w:val="365F91"/>
        </w:rPr>
        <w:t>Course Outcomes (CO)</w:t>
      </w:r>
    </w:p>
    <w:p>
      <w:pPr>
        <w:pStyle w:val="6"/>
        <w:spacing w:before="5"/>
        <w:rPr>
          <w:b/>
          <w:sz w:val="26"/>
        </w:rPr>
      </w:pPr>
    </w:p>
    <w:p>
      <w:pPr>
        <w:pStyle w:val="6"/>
        <w:ind w:left="113"/>
      </w:pPr>
      <w:r>
        <w:rPr>
          <w:color w:val="545454"/>
        </w:rPr>
        <w:t>The students shall be able to:</w:t>
      </w:r>
    </w:p>
    <w:p>
      <w:pPr>
        <w:pStyle w:val="6"/>
        <w:spacing w:before="3"/>
      </w:pPr>
    </w:p>
    <w:p>
      <w:pPr>
        <w:pStyle w:val="6"/>
        <w:ind w:left="113"/>
      </w:pPr>
      <w:r>
        <w:rPr>
          <w:b/>
          <w:color w:val="545454"/>
        </w:rPr>
        <w:t>CO1</w:t>
      </w:r>
      <w:r>
        <w:rPr>
          <w:color w:val="545454"/>
        </w:rPr>
        <w:t>: Understand the Concept of the Financial System and the Regulatory Bodies .</w:t>
      </w:r>
    </w:p>
    <w:p>
      <w:pPr>
        <w:pStyle w:val="6"/>
      </w:pPr>
    </w:p>
    <w:p>
      <w:pPr>
        <w:pStyle w:val="6"/>
        <w:ind w:left="113"/>
      </w:pPr>
      <w:r>
        <w:rPr>
          <w:b/>
          <w:color w:val="545454"/>
        </w:rPr>
        <w:t xml:space="preserve">CO2 </w:t>
      </w:r>
      <w:r>
        <w:rPr>
          <w:color w:val="545454"/>
        </w:rPr>
        <w:t>: Understand the various financial institutions in India.</w:t>
      </w:r>
    </w:p>
    <w:p>
      <w:pPr>
        <w:pStyle w:val="6"/>
      </w:pPr>
    </w:p>
    <w:p>
      <w:pPr>
        <w:pStyle w:val="6"/>
        <w:ind w:left="113"/>
      </w:pPr>
      <w:r>
        <w:rPr>
          <w:b/>
          <w:color w:val="545454"/>
        </w:rPr>
        <w:t>CO3</w:t>
      </w:r>
      <w:r>
        <w:rPr>
          <w:color w:val="545454"/>
        </w:rPr>
        <w:t>: Understand the Capital Market Operations : Primary and Secondary</w:t>
      </w:r>
    </w:p>
    <w:p>
      <w:pPr>
        <w:pStyle w:val="6"/>
      </w:pPr>
    </w:p>
    <w:p>
      <w:pPr>
        <w:pStyle w:val="6"/>
        <w:ind w:left="113" w:right="662"/>
      </w:pPr>
      <w:r>
        <w:rPr>
          <w:b/>
          <w:color w:val="545454"/>
        </w:rPr>
        <w:t xml:space="preserve">CO4 </w:t>
      </w:r>
      <w:r>
        <w:rPr>
          <w:color w:val="545454"/>
        </w:rPr>
        <w:t>: Understand the Money Market Operations &amp; the various money market instruments.</w:t>
      </w:r>
    </w:p>
    <w:p>
      <w:pPr>
        <w:pStyle w:val="6"/>
      </w:pPr>
    </w:p>
    <w:p>
      <w:pPr>
        <w:pStyle w:val="6"/>
        <w:spacing w:before="1"/>
        <w:ind w:left="113"/>
      </w:pPr>
      <w:r>
        <w:rPr>
          <w:b/>
          <w:color w:val="545454"/>
        </w:rPr>
        <w:t>CO5</w:t>
      </w:r>
      <w:r>
        <w:rPr>
          <w:color w:val="545454"/>
        </w:rPr>
        <w:t>: Understand the Role of Financial Services in the Financial System.</w:t>
      </w:r>
    </w:p>
    <w:p>
      <w:pPr>
        <w:pStyle w:val="6"/>
      </w:pPr>
    </w:p>
    <w:p>
      <w:pPr>
        <w:pStyle w:val="6"/>
        <w:ind w:left="113"/>
      </w:pPr>
      <w:r>
        <w:rPr>
          <w:b/>
          <w:color w:val="545454"/>
        </w:rPr>
        <w:t>CO6</w:t>
      </w:r>
      <w:r>
        <w:rPr>
          <w:color w:val="545454"/>
        </w:rPr>
        <w:t>: Understand the Functioning of Specific Financial Services</w:t>
      </w:r>
    </w:p>
    <w:p>
      <w:pPr>
        <w:pStyle w:val="6"/>
        <w:rPr>
          <w:sz w:val="26"/>
        </w:rPr>
      </w:pPr>
    </w:p>
    <w:p>
      <w:pPr>
        <w:pStyle w:val="2"/>
        <w:spacing w:before="181" w:line="504" w:lineRule="auto"/>
        <w:ind w:right="8442"/>
      </w:pPr>
      <w:bookmarkStart w:id="4" w:name="Course Outline"/>
      <w:bookmarkEnd w:id="4"/>
      <w:r>
        <w:rPr>
          <w:color w:val="365F91"/>
        </w:rPr>
        <w:t xml:space="preserve">Course Outline </w:t>
      </w:r>
      <w:r>
        <w:rPr>
          <w:color w:val="545454"/>
        </w:rPr>
        <w:t>Unit-I</w:t>
      </w:r>
    </w:p>
    <w:p>
      <w:pPr>
        <w:spacing w:before="0" w:line="248" w:lineRule="exact"/>
        <w:ind w:left="204" w:right="0" w:firstLine="0"/>
        <w:jc w:val="both"/>
        <w:rPr>
          <w:rFonts w:ascii="Times New Roman"/>
          <w:sz w:val="24"/>
        </w:rPr>
      </w:pPr>
      <w:r>
        <w:rPr>
          <w:rFonts w:ascii="Times New Roman"/>
          <w:b/>
          <w:sz w:val="24"/>
        </w:rPr>
        <w:t>Financial system</w:t>
      </w:r>
      <w:r>
        <w:rPr>
          <w:rFonts w:ascii="Times New Roman"/>
          <w:sz w:val="24"/>
        </w:rPr>
        <w:t>:</w:t>
      </w:r>
    </w:p>
    <w:p>
      <w:pPr>
        <w:pStyle w:val="6"/>
        <w:spacing w:before="8"/>
        <w:rPr>
          <w:rFonts w:ascii="Times New Roman"/>
          <w:sz w:val="27"/>
        </w:rPr>
      </w:pPr>
    </w:p>
    <w:p>
      <w:pPr>
        <w:pStyle w:val="6"/>
        <w:spacing w:before="1" w:line="259" w:lineRule="auto"/>
        <w:ind w:left="204" w:right="533"/>
        <w:jc w:val="both"/>
        <w:rPr>
          <w:rFonts w:ascii="Times New Roman"/>
        </w:rPr>
      </w:pPr>
      <w:r>
        <w:rPr>
          <w:rFonts w:ascii="Times New Roman"/>
        </w:rPr>
        <w:t>Meaning, Regulatory Structure of the Indian Financial System , Role of Financial Institutions in Economic</w:t>
      </w:r>
      <w:r>
        <w:rPr>
          <w:rFonts w:ascii="Times New Roman"/>
          <w:spacing w:val="-15"/>
        </w:rPr>
        <w:t xml:space="preserve"> </w:t>
      </w:r>
      <w:r>
        <w:rPr>
          <w:rFonts w:ascii="Times New Roman"/>
        </w:rPr>
        <w:t>Development</w:t>
      </w:r>
      <w:r>
        <w:rPr>
          <w:rFonts w:ascii="Times New Roman"/>
          <w:spacing w:val="-13"/>
        </w:rPr>
        <w:t xml:space="preserve"> </w:t>
      </w:r>
      <w:r>
        <w:rPr>
          <w:rFonts w:ascii="Times New Roman"/>
        </w:rPr>
        <w:t>,</w:t>
      </w:r>
      <w:r>
        <w:rPr>
          <w:rFonts w:ascii="Times New Roman"/>
          <w:spacing w:val="-12"/>
        </w:rPr>
        <w:t xml:space="preserve"> </w:t>
      </w:r>
      <w:r>
        <w:rPr>
          <w:rFonts w:ascii="Times New Roman"/>
        </w:rPr>
        <w:t>Functions</w:t>
      </w:r>
      <w:r>
        <w:rPr>
          <w:rFonts w:ascii="Times New Roman"/>
          <w:spacing w:val="-13"/>
        </w:rPr>
        <w:t xml:space="preserve"> </w:t>
      </w:r>
      <w:r>
        <w:rPr>
          <w:rFonts w:ascii="Times New Roman"/>
        </w:rPr>
        <w:t>of</w:t>
      </w:r>
      <w:r>
        <w:rPr>
          <w:rFonts w:ascii="Times New Roman"/>
          <w:spacing w:val="-13"/>
        </w:rPr>
        <w:t xml:space="preserve"> </w:t>
      </w:r>
      <w:r>
        <w:rPr>
          <w:rFonts w:ascii="Times New Roman"/>
        </w:rPr>
        <w:t>Financial</w:t>
      </w:r>
      <w:r>
        <w:rPr>
          <w:rFonts w:ascii="Times New Roman"/>
          <w:spacing w:val="-11"/>
        </w:rPr>
        <w:t xml:space="preserve"> </w:t>
      </w:r>
      <w:r>
        <w:rPr>
          <w:rFonts w:ascii="Times New Roman"/>
        </w:rPr>
        <w:t>Institutions</w:t>
      </w:r>
      <w:r>
        <w:rPr>
          <w:rFonts w:ascii="Times New Roman"/>
          <w:spacing w:val="33"/>
        </w:rPr>
        <w:t xml:space="preserve"> </w:t>
      </w:r>
      <w:r>
        <w:rPr>
          <w:rFonts w:ascii="Times New Roman"/>
        </w:rPr>
        <w:t>and</w:t>
      </w:r>
      <w:r>
        <w:rPr>
          <w:rFonts w:ascii="Times New Roman"/>
          <w:spacing w:val="-13"/>
        </w:rPr>
        <w:t xml:space="preserve"> </w:t>
      </w:r>
      <w:r>
        <w:rPr>
          <w:rFonts w:ascii="Times New Roman"/>
        </w:rPr>
        <w:t>Objectives</w:t>
      </w:r>
      <w:r>
        <w:rPr>
          <w:rFonts w:ascii="Times New Roman"/>
          <w:spacing w:val="-12"/>
        </w:rPr>
        <w:t xml:space="preserve"> </w:t>
      </w:r>
      <w:r>
        <w:rPr>
          <w:rFonts w:ascii="Times New Roman"/>
        </w:rPr>
        <w:t>of</w:t>
      </w:r>
      <w:r>
        <w:rPr>
          <w:rFonts w:ascii="Times New Roman"/>
          <w:spacing w:val="-14"/>
        </w:rPr>
        <w:t xml:space="preserve"> </w:t>
      </w:r>
      <w:r>
        <w:rPr>
          <w:rFonts w:ascii="Times New Roman"/>
        </w:rPr>
        <w:t>the</w:t>
      </w:r>
      <w:r>
        <w:rPr>
          <w:rFonts w:ascii="Times New Roman"/>
          <w:spacing w:val="-13"/>
        </w:rPr>
        <w:t xml:space="preserve"> </w:t>
      </w:r>
      <w:r>
        <w:rPr>
          <w:rFonts w:ascii="Times New Roman"/>
        </w:rPr>
        <w:t>Financial</w:t>
      </w:r>
      <w:r>
        <w:rPr>
          <w:rFonts w:ascii="Times New Roman"/>
          <w:spacing w:val="-13"/>
        </w:rPr>
        <w:t xml:space="preserve"> </w:t>
      </w:r>
      <w:r>
        <w:rPr>
          <w:rFonts w:ascii="Times New Roman"/>
        </w:rPr>
        <w:t>System</w:t>
      </w:r>
    </w:p>
    <w:p>
      <w:pPr>
        <w:pStyle w:val="6"/>
        <w:spacing w:before="5"/>
        <w:rPr>
          <w:rFonts w:ascii="Times New Roman"/>
        </w:rPr>
      </w:pPr>
    </w:p>
    <w:p>
      <w:pPr>
        <w:pStyle w:val="2"/>
      </w:pPr>
      <w:r>
        <w:rPr>
          <w:color w:val="545454"/>
        </w:rPr>
        <w:t>Unit-II</w:t>
      </w:r>
    </w:p>
    <w:p>
      <w:pPr>
        <w:pStyle w:val="6"/>
        <w:spacing w:before="6"/>
        <w:rPr>
          <w:b/>
        </w:rPr>
      </w:pPr>
    </w:p>
    <w:p>
      <w:pPr>
        <w:spacing w:before="0"/>
        <w:ind w:left="113" w:right="0" w:firstLine="0"/>
        <w:jc w:val="both"/>
        <w:rPr>
          <w:rFonts w:ascii="Times New Roman"/>
          <w:b/>
          <w:sz w:val="24"/>
        </w:rPr>
      </w:pPr>
      <w:r>
        <w:rPr>
          <w:rFonts w:ascii="Times New Roman"/>
          <w:b/>
          <w:sz w:val="24"/>
        </w:rPr>
        <w:t>Financial Institutions :</w:t>
      </w:r>
    </w:p>
    <w:p>
      <w:pPr>
        <w:pStyle w:val="6"/>
        <w:spacing w:before="17" w:line="259" w:lineRule="auto"/>
        <w:ind w:left="113" w:right="532"/>
        <w:jc w:val="both"/>
        <w:rPr>
          <w:rFonts w:ascii="Times New Roman"/>
        </w:rPr>
      </w:pPr>
      <w:r>
        <w:rPr>
          <w:rFonts w:ascii="Times New Roman"/>
        </w:rPr>
        <w:t>Reserve Bank of India , Commercial Banks , Non Banking Finance Companies , Development Financial Institutions , Insurance Companies - Life Insurance and General Insurance and Merchant Banking .</w:t>
      </w:r>
    </w:p>
    <w:p>
      <w:pPr>
        <w:pStyle w:val="6"/>
        <w:spacing w:before="7"/>
        <w:rPr>
          <w:rFonts w:ascii="Times New Roman"/>
        </w:rPr>
      </w:pPr>
    </w:p>
    <w:p>
      <w:pPr>
        <w:pStyle w:val="2"/>
      </w:pPr>
      <w:r>
        <w:rPr>
          <w:color w:val="545454"/>
        </w:rPr>
        <w:t>Unit-III</w:t>
      </w:r>
    </w:p>
    <w:p>
      <w:pPr>
        <w:pStyle w:val="6"/>
        <w:spacing w:before="6"/>
        <w:rPr>
          <w:b/>
        </w:rPr>
      </w:pPr>
    </w:p>
    <w:p>
      <w:pPr>
        <w:pStyle w:val="8"/>
        <w:numPr>
          <w:ilvl w:val="0"/>
          <w:numId w:val="1"/>
        </w:numPr>
        <w:tabs>
          <w:tab w:val="left" w:pos="395"/>
        </w:tabs>
        <w:spacing w:before="1" w:after="0" w:line="240" w:lineRule="auto"/>
        <w:ind w:left="394" w:right="0" w:hanging="282"/>
        <w:jc w:val="both"/>
        <w:rPr>
          <w:b/>
          <w:sz w:val="24"/>
        </w:rPr>
      </w:pPr>
      <w:r>
        <w:rPr>
          <w:b/>
          <w:sz w:val="24"/>
        </w:rPr>
        <w:t>Capital</w:t>
      </w:r>
      <w:r>
        <w:rPr>
          <w:b/>
          <w:spacing w:val="-1"/>
          <w:sz w:val="24"/>
        </w:rPr>
        <w:t xml:space="preserve"> </w:t>
      </w:r>
      <w:r>
        <w:rPr>
          <w:b/>
          <w:sz w:val="24"/>
        </w:rPr>
        <w:t>Markets:</w:t>
      </w:r>
    </w:p>
    <w:p>
      <w:pPr>
        <w:pStyle w:val="8"/>
        <w:numPr>
          <w:ilvl w:val="0"/>
          <w:numId w:val="2"/>
        </w:numPr>
        <w:tabs>
          <w:tab w:val="left" w:pos="347"/>
        </w:tabs>
        <w:spacing w:before="16" w:after="0" w:line="259" w:lineRule="auto"/>
        <w:ind w:left="113" w:right="538" w:firstLine="0"/>
        <w:jc w:val="left"/>
        <w:rPr>
          <w:sz w:val="24"/>
        </w:rPr>
      </w:pPr>
      <w:r>
        <w:rPr>
          <w:b/>
          <w:sz w:val="24"/>
        </w:rPr>
        <w:t>Primary Market</w:t>
      </w:r>
      <w:r>
        <w:rPr>
          <w:sz w:val="24"/>
        </w:rPr>
        <w:t>s: Meaning, instruments, Modes of procuring long term funds: Public issue, Rights issue, Bonus issue, Private</w:t>
      </w:r>
      <w:r>
        <w:rPr>
          <w:spacing w:val="-1"/>
          <w:sz w:val="24"/>
        </w:rPr>
        <w:t xml:space="preserve"> </w:t>
      </w:r>
      <w:r>
        <w:rPr>
          <w:sz w:val="24"/>
        </w:rPr>
        <w:t>placement.</w:t>
      </w:r>
    </w:p>
    <w:p>
      <w:pPr>
        <w:pStyle w:val="6"/>
        <w:spacing w:before="9"/>
        <w:rPr>
          <w:rFonts w:ascii="Times New Roman"/>
          <w:sz w:val="25"/>
        </w:rPr>
      </w:pPr>
    </w:p>
    <w:p>
      <w:pPr>
        <w:pStyle w:val="8"/>
        <w:numPr>
          <w:ilvl w:val="0"/>
          <w:numId w:val="2"/>
        </w:numPr>
        <w:tabs>
          <w:tab w:val="left" w:pos="390"/>
        </w:tabs>
        <w:spacing w:before="1" w:after="0" w:line="259" w:lineRule="auto"/>
        <w:ind w:left="113" w:right="536" w:firstLine="0"/>
        <w:jc w:val="left"/>
        <w:rPr>
          <w:sz w:val="24"/>
        </w:rPr>
      </w:pPr>
      <w:r>
        <w:rPr>
          <w:b/>
          <w:sz w:val="24"/>
        </w:rPr>
        <w:t>Secondary Markets.</w:t>
      </w:r>
      <w:r>
        <w:rPr>
          <w:sz w:val="24"/>
        </w:rPr>
        <w:t>: Meaning, Functions of the stock exchange, Stock market indices, Types</w:t>
      </w:r>
      <w:r>
        <w:rPr>
          <w:spacing w:val="-18"/>
          <w:sz w:val="24"/>
        </w:rPr>
        <w:t xml:space="preserve"> </w:t>
      </w:r>
      <w:r>
        <w:rPr>
          <w:sz w:val="24"/>
        </w:rPr>
        <w:t>of dealings, types of securities traded on the Indian stock</w:t>
      </w:r>
      <w:r>
        <w:rPr>
          <w:spacing w:val="2"/>
          <w:sz w:val="24"/>
        </w:rPr>
        <w:t xml:space="preserve"> </w:t>
      </w:r>
      <w:r>
        <w:rPr>
          <w:sz w:val="24"/>
        </w:rPr>
        <w:t>exchanges.</w:t>
      </w:r>
    </w:p>
    <w:p>
      <w:pPr>
        <w:pStyle w:val="6"/>
        <w:rPr>
          <w:rFonts w:ascii="Times New Roman"/>
          <w:sz w:val="26"/>
        </w:rPr>
      </w:pPr>
    </w:p>
    <w:p>
      <w:pPr>
        <w:pStyle w:val="8"/>
        <w:numPr>
          <w:ilvl w:val="0"/>
          <w:numId w:val="1"/>
        </w:numPr>
        <w:tabs>
          <w:tab w:val="left" w:pos="498"/>
        </w:tabs>
        <w:spacing w:before="0" w:after="0" w:line="259" w:lineRule="auto"/>
        <w:ind w:left="113" w:right="539" w:firstLine="0"/>
        <w:jc w:val="left"/>
        <w:rPr>
          <w:sz w:val="24"/>
        </w:rPr>
      </w:pPr>
      <w:r>
        <w:rPr>
          <w:b/>
          <w:sz w:val="24"/>
        </w:rPr>
        <w:t>Money Markets</w:t>
      </w:r>
      <w:r>
        <w:rPr>
          <w:sz w:val="24"/>
        </w:rPr>
        <w:t>: Meaning, Instruments: Treasury Bills, Certificate of Deposits, Commercial Paper, Call money Commercial bills, Inter-corporate deposits, Inter-bank participation</w:t>
      </w:r>
      <w:r>
        <w:rPr>
          <w:spacing w:val="-12"/>
          <w:sz w:val="24"/>
        </w:rPr>
        <w:t xml:space="preserve"> </w:t>
      </w:r>
      <w:r>
        <w:rPr>
          <w:sz w:val="24"/>
        </w:rPr>
        <w:t>certificates.</w:t>
      </w:r>
    </w:p>
    <w:p>
      <w:pPr>
        <w:spacing w:after="0" w:line="259" w:lineRule="auto"/>
        <w:jc w:val="left"/>
        <w:rPr>
          <w:sz w:val="24"/>
        </w:rPr>
        <w:sectPr>
          <w:pgSz w:w="11900" w:h="16850"/>
          <w:pgMar w:top="1060" w:right="600" w:bottom="1620" w:left="1020" w:header="284" w:footer="1149" w:gutter="0"/>
          <w:cols w:space="720" w:num="1"/>
        </w:sectPr>
      </w:pPr>
    </w:p>
    <w:p>
      <w:pPr>
        <w:pStyle w:val="6"/>
        <w:spacing w:before="3"/>
        <w:rPr>
          <w:rFonts w:ascii="Times New Roman"/>
          <w:sz w:val="19"/>
        </w:rPr>
      </w:pPr>
    </w:p>
    <w:p>
      <w:pPr>
        <w:pStyle w:val="2"/>
        <w:spacing w:before="93"/>
      </w:pPr>
      <w:r>
        <w:rPr>
          <w:color w:val="545454"/>
        </w:rPr>
        <w:t>Unit-IV</w:t>
      </w:r>
    </w:p>
    <w:p>
      <w:pPr>
        <w:pStyle w:val="6"/>
        <w:rPr>
          <w:b/>
        </w:rPr>
      </w:pPr>
    </w:p>
    <w:p>
      <w:pPr>
        <w:pStyle w:val="6"/>
        <w:spacing w:before="1" w:line="261" w:lineRule="auto"/>
        <w:ind w:left="113" w:right="662"/>
        <w:rPr>
          <w:rFonts w:ascii="Times New Roman"/>
        </w:rPr>
      </w:pPr>
      <w:r>
        <w:rPr>
          <w:rFonts w:ascii="Times New Roman"/>
          <w:b/>
        </w:rPr>
        <w:t xml:space="preserve">Overview of Financial Services </w:t>
      </w:r>
      <w:r>
        <w:rPr>
          <w:rFonts w:ascii="Times New Roman"/>
        </w:rPr>
        <w:t>Industry. Coverage: Introduction/Concept of Financial Services, and Types of Financial Services. Focus on fee based financial services only.</w:t>
      </w:r>
    </w:p>
    <w:p>
      <w:pPr>
        <w:pStyle w:val="6"/>
        <w:rPr>
          <w:rFonts w:ascii="Times New Roman"/>
          <w:sz w:val="26"/>
        </w:rPr>
      </w:pPr>
    </w:p>
    <w:p>
      <w:pPr>
        <w:pStyle w:val="2"/>
        <w:spacing w:before="156"/>
      </w:pPr>
      <w:r>
        <w:t>Unit - V</w:t>
      </w:r>
    </w:p>
    <w:p>
      <w:pPr>
        <w:spacing w:before="184"/>
        <w:ind w:left="113" w:right="0" w:firstLine="0"/>
        <w:jc w:val="left"/>
        <w:rPr>
          <w:rFonts w:ascii="Times New Roman"/>
          <w:b/>
          <w:sz w:val="24"/>
        </w:rPr>
      </w:pPr>
      <w:r>
        <w:rPr>
          <w:rFonts w:ascii="Times New Roman"/>
          <w:b/>
          <w:sz w:val="24"/>
        </w:rPr>
        <w:t>Financial Services :</w:t>
      </w:r>
    </w:p>
    <w:p>
      <w:pPr>
        <w:pStyle w:val="6"/>
        <w:spacing w:before="17" w:line="259" w:lineRule="auto"/>
        <w:ind w:left="113" w:right="662"/>
        <w:rPr>
          <w:rFonts w:ascii="Times New Roman"/>
        </w:rPr>
      </w:pPr>
      <w:r>
        <w:rPr>
          <w:rFonts w:ascii="Times New Roman"/>
        </w:rPr>
        <w:t>Factoring and Forfeiting , Housing Finance Companies , Leasing and Hire Purchase and Venture Capital</w:t>
      </w:r>
    </w:p>
    <w:p>
      <w:pPr>
        <w:pStyle w:val="6"/>
        <w:rPr>
          <w:rFonts w:ascii="Times New Roman"/>
          <w:sz w:val="26"/>
        </w:rPr>
      </w:pPr>
    </w:p>
    <w:p>
      <w:pPr>
        <w:pStyle w:val="2"/>
        <w:spacing w:before="184"/>
      </w:pPr>
      <w:bookmarkStart w:id="5" w:name="Method of delivery"/>
      <w:bookmarkEnd w:id="5"/>
      <w:r>
        <w:rPr>
          <w:color w:val="365F91"/>
        </w:rPr>
        <w:t>Method of delivery</w:t>
      </w:r>
    </w:p>
    <w:p>
      <w:pPr>
        <w:pStyle w:val="6"/>
        <w:spacing w:before="183"/>
        <w:ind w:left="113"/>
      </w:pPr>
      <w:r>
        <w:rPr>
          <w:color w:val="545454"/>
        </w:rPr>
        <w:t>Lectures, PPT, Assignments , Group Presentation .</w:t>
      </w:r>
    </w:p>
    <w:p>
      <w:pPr>
        <w:pStyle w:val="6"/>
        <w:rPr>
          <w:sz w:val="26"/>
        </w:rPr>
      </w:pPr>
    </w:p>
    <w:p>
      <w:pPr>
        <w:pStyle w:val="2"/>
        <w:spacing w:before="202"/>
      </w:pPr>
      <w:bookmarkStart w:id="6" w:name="Study time"/>
      <w:bookmarkEnd w:id="6"/>
      <w:r>
        <w:rPr>
          <w:color w:val="365F91"/>
        </w:rPr>
        <w:t>Study time</w:t>
      </w:r>
    </w:p>
    <w:p>
      <w:pPr>
        <w:pStyle w:val="6"/>
        <w:spacing w:before="183"/>
        <w:ind w:left="113"/>
      </w:pPr>
      <w:r>
        <w:rPr>
          <w:color w:val="545454"/>
        </w:rPr>
        <w:t>Three hours per week</w:t>
      </w:r>
    </w:p>
    <w:p>
      <w:pPr>
        <w:pStyle w:val="6"/>
        <w:rPr>
          <w:sz w:val="26"/>
        </w:rPr>
      </w:pPr>
    </w:p>
    <w:p>
      <w:pPr>
        <w:pStyle w:val="2"/>
        <w:spacing w:before="202"/>
      </w:pPr>
      <w:bookmarkStart w:id="7" w:name="CO-PO Mapping (PO: Program Outcomes)"/>
      <w:bookmarkEnd w:id="7"/>
      <w:r>
        <w:rPr>
          <w:color w:val="365F91"/>
        </w:rPr>
        <w:t>CO-PO Mapping (PO: Program Outcomes)</w:t>
      </w:r>
    </w:p>
    <w:p>
      <w:pPr>
        <w:pStyle w:val="6"/>
        <w:rPr>
          <w:b/>
          <w:sz w:val="20"/>
        </w:rPr>
      </w:pPr>
    </w:p>
    <w:p>
      <w:pPr>
        <w:pStyle w:val="6"/>
        <w:rPr>
          <w:b/>
          <w:sz w:val="20"/>
        </w:rPr>
      </w:pPr>
    </w:p>
    <w:p>
      <w:pPr>
        <w:pStyle w:val="6"/>
        <w:spacing w:before="10" w:after="1"/>
        <w:rPr>
          <w:b/>
          <w:sz w:val="15"/>
        </w:rPr>
      </w:pPr>
    </w:p>
    <w:tbl>
      <w:tblPr>
        <w:tblStyle w:val="5"/>
        <w:tblW w:w="6018" w:type="dxa"/>
        <w:tblInd w:w="228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65"/>
        <w:gridCol w:w="752"/>
        <w:gridCol w:w="810"/>
        <w:gridCol w:w="781"/>
        <w:gridCol w:w="827"/>
        <w:gridCol w:w="676"/>
        <w:gridCol w:w="7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trPr>
        <w:tc>
          <w:tcPr>
            <w:tcW w:w="1465" w:type="dxa"/>
          </w:tcPr>
          <w:p>
            <w:pPr>
              <w:pStyle w:val="9"/>
              <w:rPr>
                <w:sz w:val="22"/>
              </w:rPr>
            </w:pPr>
          </w:p>
        </w:tc>
        <w:tc>
          <w:tcPr>
            <w:tcW w:w="752" w:type="dxa"/>
          </w:tcPr>
          <w:p>
            <w:pPr>
              <w:pStyle w:val="9"/>
              <w:spacing w:line="265" w:lineRule="exact"/>
              <w:ind w:left="118" w:right="98"/>
              <w:jc w:val="center"/>
              <w:rPr>
                <w:rFonts w:ascii="Arial"/>
                <w:sz w:val="24"/>
              </w:rPr>
            </w:pPr>
            <w:r>
              <w:rPr>
                <w:rFonts w:ascii="Arial"/>
                <w:sz w:val="24"/>
              </w:rPr>
              <w:t>PO1</w:t>
            </w:r>
          </w:p>
        </w:tc>
        <w:tc>
          <w:tcPr>
            <w:tcW w:w="810" w:type="dxa"/>
          </w:tcPr>
          <w:p>
            <w:pPr>
              <w:pStyle w:val="9"/>
              <w:spacing w:line="265" w:lineRule="exact"/>
              <w:ind w:left="143" w:right="130"/>
              <w:jc w:val="center"/>
              <w:rPr>
                <w:rFonts w:ascii="Arial"/>
                <w:sz w:val="24"/>
              </w:rPr>
            </w:pPr>
            <w:r>
              <w:rPr>
                <w:rFonts w:ascii="Arial"/>
                <w:sz w:val="24"/>
              </w:rPr>
              <w:t>PO2</w:t>
            </w:r>
          </w:p>
        </w:tc>
        <w:tc>
          <w:tcPr>
            <w:tcW w:w="781" w:type="dxa"/>
          </w:tcPr>
          <w:p>
            <w:pPr>
              <w:pStyle w:val="9"/>
              <w:spacing w:line="265" w:lineRule="exact"/>
              <w:ind w:left="135" w:right="109"/>
              <w:jc w:val="center"/>
              <w:rPr>
                <w:rFonts w:ascii="Arial"/>
                <w:sz w:val="24"/>
              </w:rPr>
            </w:pPr>
            <w:r>
              <w:rPr>
                <w:rFonts w:ascii="Arial"/>
                <w:sz w:val="24"/>
              </w:rPr>
              <w:t>PO3</w:t>
            </w:r>
          </w:p>
        </w:tc>
        <w:tc>
          <w:tcPr>
            <w:tcW w:w="827" w:type="dxa"/>
          </w:tcPr>
          <w:p>
            <w:pPr>
              <w:pStyle w:val="9"/>
              <w:spacing w:line="265" w:lineRule="exact"/>
              <w:ind w:left="154" w:right="137"/>
              <w:jc w:val="center"/>
              <w:rPr>
                <w:rFonts w:ascii="Arial"/>
                <w:sz w:val="24"/>
              </w:rPr>
            </w:pPr>
            <w:r>
              <w:rPr>
                <w:rFonts w:ascii="Arial"/>
                <w:sz w:val="24"/>
              </w:rPr>
              <w:t>PO4</w:t>
            </w:r>
          </w:p>
        </w:tc>
        <w:tc>
          <w:tcPr>
            <w:tcW w:w="676" w:type="dxa"/>
          </w:tcPr>
          <w:p>
            <w:pPr>
              <w:pStyle w:val="9"/>
              <w:spacing w:line="265" w:lineRule="exact"/>
              <w:ind w:left="83" w:right="57"/>
              <w:jc w:val="center"/>
              <w:rPr>
                <w:rFonts w:ascii="Arial"/>
                <w:sz w:val="24"/>
              </w:rPr>
            </w:pPr>
            <w:r>
              <w:rPr>
                <w:rFonts w:ascii="Arial"/>
                <w:sz w:val="24"/>
              </w:rPr>
              <w:t>PO5</w:t>
            </w:r>
          </w:p>
        </w:tc>
        <w:tc>
          <w:tcPr>
            <w:tcW w:w="707" w:type="dxa"/>
          </w:tcPr>
          <w:p>
            <w:pPr>
              <w:pStyle w:val="9"/>
              <w:spacing w:line="265" w:lineRule="exact"/>
              <w:ind w:left="91" w:right="79"/>
              <w:jc w:val="center"/>
              <w:rPr>
                <w:rFonts w:ascii="Arial"/>
                <w:sz w:val="24"/>
              </w:rPr>
            </w:pPr>
            <w:r>
              <w:rPr>
                <w:rFonts w:ascii="Arial"/>
                <w:sz w:val="24"/>
              </w:rPr>
              <w:t>PO6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7" w:hRule="atLeast"/>
        </w:trPr>
        <w:tc>
          <w:tcPr>
            <w:tcW w:w="1465" w:type="dxa"/>
          </w:tcPr>
          <w:p>
            <w:pPr>
              <w:pStyle w:val="9"/>
              <w:spacing w:line="255" w:lineRule="exact"/>
              <w:ind w:left="443" w:right="406"/>
              <w:jc w:val="center"/>
              <w:rPr>
                <w:rFonts w:ascii="Arial"/>
                <w:b/>
                <w:sz w:val="24"/>
              </w:rPr>
            </w:pPr>
            <w:r>
              <w:rPr>
                <w:rFonts w:ascii="Arial"/>
                <w:b/>
                <w:sz w:val="24"/>
              </w:rPr>
              <w:t>CO 1</w:t>
            </w:r>
          </w:p>
        </w:tc>
        <w:tc>
          <w:tcPr>
            <w:tcW w:w="752" w:type="dxa"/>
          </w:tcPr>
          <w:p>
            <w:pPr>
              <w:pStyle w:val="9"/>
              <w:spacing w:line="255" w:lineRule="exact"/>
              <w:ind w:left="38"/>
              <w:jc w:val="center"/>
              <w:rPr>
                <w:rFonts w:ascii="Arial"/>
                <w:b/>
                <w:sz w:val="24"/>
              </w:rPr>
            </w:pPr>
            <w:r>
              <w:rPr>
                <w:rFonts w:ascii="Arial"/>
                <w:b/>
                <w:w w:val="99"/>
                <w:sz w:val="24"/>
              </w:rPr>
              <w:t>3</w:t>
            </w:r>
          </w:p>
        </w:tc>
        <w:tc>
          <w:tcPr>
            <w:tcW w:w="810" w:type="dxa"/>
          </w:tcPr>
          <w:p>
            <w:pPr>
              <w:pStyle w:val="9"/>
              <w:spacing w:line="255" w:lineRule="exact"/>
              <w:ind w:left="31"/>
              <w:jc w:val="center"/>
              <w:rPr>
                <w:rFonts w:ascii="Arial"/>
                <w:b/>
                <w:sz w:val="24"/>
              </w:rPr>
            </w:pPr>
            <w:r>
              <w:rPr>
                <w:rFonts w:ascii="Arial"/>
                <w:b/>
                <w:w w:val="99"/>
                <w:sz w:val="24"/>
              </w:rPr>
              <w:t>-</w:t>
            </w:r>
          </w:p>
        </w:tc>
        <w:tc>
          <w:tcPr>
            <w:tcW w:w="781" w:type="dxa"/>
          </w:tcPr>
          <w:p>
            <w:pPr>
              <w:pStyle w:val="9"/>
              <w:spacing w:line="255" w:lineRule="exact"/>
              <w:ind w:left="44"/>
              <w:jc w:val="center"/>
              <w:rPr>
                <w:rFonts w:ascii="Arial"/>
                <w:b/>
                <w:sz w:val="24"/>
              </w:rPr>
            </w:pPr>
            <w:r>
              <w:rPr>
                <w:rFonts w:ascii="Arial"/>
                <w:b/>
                <w:w w:val="99"/>
                <w:sz w:val="24"/>
              </w:rPr>
              <w:t>2</w:t>
            </w:r>
          </w:p>
        </w:tc>
        <w:tc>
          <w:tcPr>
            <w:tcW w:w="827" w:type="dxa"/>
          </w:tcPr>
          <w:p>
            <w:pPr>
              <w:pStyle w:val="9"/>
              <w:spacing w:line="255" w:lineRule="exact"/>
              <w:ind w:left="34"/>
              <w:jc w:val="center"/>
              <w:rPr>
                <w:rFonts w:ascii="Arial"/>
                <w:b/>
                <w:sz w:val="24"/>
              </w:rPr>
            </w:pPr>
            <w:r>
              <w:rPr>
                <w:rFonts w:ascii="Arial"/>
                <w:b/>
                <w:w w:val="99"/>
                <w:sz w:val="24"/>
              </w:rPr>
              <w:t>-</w:t>
            </w:r>
          </w:p>
        </w:tc>
        <w:tc>
          <w:tcPr>
            <w:tcW w:w="676" w:type="dxa"/>
          </w:tcPr>
          <w:p>
            <w:pPr>
              <w:pStyle w:val="9"/>
              <w:spacing w:line="255" w:lineRule="exact"/>
              <w:ind w:left="45"/>
              <w:jc w:val="center"/>
              <w:rPr>
                <w:rFonts w:ascii="Arial"/>
                <w:b/>
                <w:sz w:val="24"/>
              </w:rPr>
            </w:pPr>
            <w:r>
              <w:rPr>
                <w:rFonts w:ascii="Arial"/>
                <w:b/>
                <w:w w:val="99"/>
                <w:sz w:val="24"/>
              </w:rPr>
              <w:t>1</w:t>
            </w:r>
          </w:p>
        </w:tc>
        <w:tc>
          <w:tcPr>
            <w:tcW w:w="707" w:type="dxa"/>
          </w:tcPr>
          <w:p>
            <w:pPr>
              <w:pStyle w:val="9"/>
              <w:spacing w:line="255" w:lineRule="exact"/>
              <w:ind w:left="29"/>
              <w:jc w:val="center"/>
              <w:rPr>
                <w:rFonts w:ascii="Arial"/>
                <w:b/>
                <w:sz w:val="24"/>
              </w:rPr>
            </w:pPr>
            <w:r>
              <w:rPr>
                <w:rFonts w:ascii="Arial"/>
                <w:b/>
                <w:w w:val="99"/>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6" w:hRule="atLeast"/>
        </w:trPr>
        <w:tc>
          <w:tcPr>
            <w:tcW w:w="1465" w:type="dxa"/>
          </w:tcPr>
          <w:p>
            <w:pPr>
              <w:pStyle w:val="9"/>
              <w:spacing w:line="264" w:lineRule="exact"/>
              <w:ind w:left="443" w:right="406"/>
              <w:jc w:val="center"/>
              <w:rPr>
                <w:rFonts w:ascii="Arial"/>
                <w:b/>
                <w:sz w:val="24"/>
              </w:rPr>
            </w:pPr>
            <w:r>
              <w:rPr>
                <w:rFonts w:ascii="Arial"/>
                <w:b/>
                <w:sz w:val="24"/>
              </w:rPr>
              <w:t>CO 2</w:t>
            </w:r>
          </w:p>
        </w:tc>
        <w:tc>
          <w:tcPr>
            <w:tcW w:w="752" w:type="dxa"/>
          </w:tcPr>
          <w:p>
            <w:pPr>
              <w:pStyle w:val="9"/>
              <w:spacing w:line="264" w:lineRule="exact"/>
              <w:ind w:left="38"/>
              <w:jc w:val="center"/>
              <w:rPr>
                <w:rFonts w:ascii="Arial"/>
                <w:b/>
                <w:sz w:val="24"/>
              </w:rPr>
            </w:pPr>
            <w:r>
              <w:rPr>
                <w:rFonts w:ascii="Arial"/>
                <w:b/>
                <w:w w:val="99"/>
                <w:sz w:val="24"/>
              </w:rPr>
              <w:t>3</w:t>
            </w:r>
          </w:p>
        </w:tc>
        <w:tc>
          <w:tcPr>
            <w:tcW w:w="810" w:type="dxa"/>
          </w:tcPr>
          <w:p>
            <w:pPr>
              <w:pStyle w:val="9"/>
              <w:spacing w:line="264" w:lineRule="exact"/>
              <w:ind w:left="31"/>
              <w:jc w:val="center"/>
              <w:rPr>
                <w:rFonts w:ascii="Arial"/>
                <w:b/>
                <w:sz w:val="24"/>
              </w:rPr>
            </w:pPr>
            <w:r>
              <w:rPr>
                <w:rFonts w:ascii="Arial"/>
                <w:b/>
                <w:w w:val="99"/>
                <w:sz w:val="24"/>
              </w:rPr>
              <w:t>-</w:t>
            </w:r>
          </w:p>
        </w:tc>
        <w:tc>
          <w:tcPr>
            <w:tcW w:w="781" w:type="dxa"/>
          </w:tcPr>
          <w:p>
            <w:pPr>
              <w:pStyle w:val="9"/>
              <w:spacing w:line="264" w:lineRule="exact"/>
              <w:ind w:left="44"/>
              <w:jc w:val="center"/>
              <w:rPr>
                <w:rFonts w:ascii="Arial"/>
                <w:b/>
                <w:sz w:val="24"/>
              </w:rPr>
            </w:pPr>
            <w:r>
              <w:rPr>
                <w:rFonts w:ascii="Arial"/>
                <w:b/>
                <w:w w:val="99"/>
                <w:sz w:val="24"/>
              </w:rPr>
              <w:t>2</w:t>
            </w:r>
          </w:p>
        </w:tc>
        <w:tc>
          <w:tcPr>
            <w:tcW w:w="827" w:type="dxa"/>
          </w:tcPr>
          <w:p>
            <w:pPr>
              <w:pStyle w:val="9"/>
              <w:spacing w:line="264" w:lineRule="exact"/>
              <w:ind w:left="34"/>
              <w:jc w:val="center"/>
              <w:rPr>
                <w:rFonts w:ascii="Arial"/>
                <w:b/>
                <w:sz w:val="24"/>
              </w:rPr>
            </w:pPr>
            <w:r>
              <w:rPr>
                <w:rFonts w:ascii="Arial"/>
                <w:b/>
                <w:w w:val="99"/>
                <w:sz w:val="24"/>
              </w:rPr>
              <w:t>-</w:t>
            </w:r>
          </w:p>
        </w:tc>
        <w:tc>
          <w:tcPr>
            <w:tcW w:w="676" w:type="dxa"/>
          </w:tcPr>
          <w:p>
            <w:pPr>
              <w:pStyle w:val="9"/>
              <w:spacing w:line="264" w:lineRule="exact"/>
              <w:ind w:left="45"/>
              <w:jc w:val="center"/>
              <w:rPr>
                <w:rFonts w:ascii="Arial"/>
                <w:b/>
                <w:sz w:val="24"/>
              </w:rPr>
            </w:pPr>
            <w:r>
              <w:rPr>
                <w:rFonts w:ascii="Arial"/>
                <w:b/>
                <w:w w:val="99"/>
                <w:sz w:val="24"/>
              </w:rPr>
              <w:t>1</w:t>
            </w:r>
          </w:p>
        </w:tc>
        <w:tc>
          <w:tcPr>
            <w:tcW w:w="707" w:type="dxa"/>
          </w:tcPr>
          <w:p>
            <w:pPr>
              <w:pStyle w:val="9"/>
              <w:spacing w:line="264" w:lineRule="exact"/>
              <w:ind w:left="29"/>
              <w:jc w:val="center"/>
              <w:rPr>
                <w:rFonts w:ascii="Arial"/>
                <w:b/>
                <w:sz w:val="24"/>
              </w:rPr>
            </w:pPr>
            <w:r>
              <w:rPr>
                <w:rFonts w:ascii="Arial"/>
                <w:b/>
                <w:w w:val="99"/>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4" w:hRule="atLeast"/>
        </w:trPr>
        <w:tc>
          <w:tcPr>
            <w:tcW w:w="1465" w:type="dxa"/>
          </w:tcPr>
          <w:p>
            <w:pPr>
              <w:pStyle w:val="9"/>
              <w:spacing w:line="264" w:lineRule="exact"/>
              <w:ind w:left="443" w:right="406"/>
              <w:jc w:val="center"/>
              <w:rPr>
                <w:rFonts w:ascii="Arial"/>
                <w:b/>
                <w:sz w:val="24"/>
              </w:rPr>
            </w:pPr>
            <w:r>
              <w:rPr>
                <w:rFonts w:ascii="Arial"/>
                <w:b/>
                <w:sz w:val="24"/>
              </w:rPr>
              <w:t>CO 3</w:t>
            </w:r>
          </w:p>
        </w:tc>
        <w:tc>
          <w:tcPr>
            <w:tcW w:w="752" w:type="dxa"/>
          </w:tcPr>
          <w:p>
            <w:pPr>
              <w:pStyle w:val="9"/>
              <w:spacing w:line="264" w:lineRule="exact"/>
              <w:ind w:left="38"/>
              <w:jc w:val="center"/>
              <w:rPr>
                <w:rFonts w:ascii="Arial"/>
                <w:b/>
                <w:sz w:val="24"/>
              </w:rPr>
            </w:pPr>
            <w:r>
              <w:rPr>
                <w:rFonts w:ascii="Arial"/>
                <w:b/>
                <w:w w:val="99"/>
                <w:sz w:val="24"/>
              </w:rPr>
              <w:t>3</w:t>
            </w:r>
          </w:p>
        </w:tc>
        <w:tc>
          <w:tcPr>
            <w:tcW w:w="810" w:type="dxa"/>
          </w:tcPr>
          <w:p>
            <w:pPr>
              <w:pStyle w:val="9"/>
              <w:spacing w:line="264" w:lineRule="exact"/>
              <w:ind w:left="31"/>
              <w:jc w:val="center"/>
              <w:rPr>
                <w:rFonts w:ascii="Arial"/>
                <w:b/>
                <w:sz w:val="24"/>
              </w:rPr>
            </w:pPr>
            <w:r>
              <w:rPr>
                <w:rFonts w:ascii="Arial"/>
                <w:b/>
                <w:w w:val="99"/>
                <w:sz w:val="24"/>
              </w:rPr>
              <w:t>-</w:t>
            </w:r>
          </w:p>
        </w:tc>
        <w:tc>
          <w:tcPr>
            <w:tcW w:w="781" w:type="dxa"/>
          </w:tcPr>
          <w:p>
            <w:pPr>
              <w:pStyle w:val="9"/>
              <w:spacing w:line="264" w:lineRule="exact"/>
              <w:ind w:left="44"/>
              <w:jc w:val="center"/>
              <w:rPr>
                <w:rFonts w:ascii="Arial"/>
                <w:b/>
                <w:sz w:val="24"/>
              </w:rPr>
            </w:pPr>
            <w:r>
              <w:rPr>
                <w:rFonts w:ascii="Arial"/>
                <w:b/>
                <w:w w:val="99"/>
                <w:sz w:val="24"/>
              </w:rPr>
              <w:t>2</w:t>
            </w:r>
          </w:p>
        </w:tc>
        <w:tc>
          <w:tcPr>
            <w:tcW w:w="827" w:type="dxa"/>
          </w:tcPr>
          <w:p>
            <w:pPr>
              <w:pStyle w:val="9"/>
              <w:spacing w:line="264" w:lineRule="exact"/>
              <w:ind w:left="34"/>
              <w:jc w:val="center"/>
              <w:rPr>
                <w:rFonts w:ascii="Arial"/>
                <w:b/>
                <w:sz w:val="24"/>
              </w:rPr>
            </w:pPr>
            <w:r>
              <w:rPr>
                <w:rFonts w:ascii="Arial"/>
                <w:b/>
                <w:w w:val="99"/>
                <w:sz w:val="24"/>
              </w:rPr>
              <w:t>2</w:t>
            </w:r>
          </w:p>
        </w:tc>
        <w:tc>
          <w:tcPr>
            <w:tcW w:w="676" w:type="dxa"/>
          </w:tcPr>
          <w:p>
            <w:pPr>
              <w:pStyle w:val="9"/>
              <w:spacing w:line="264" w:lineRule="exact"/>
              <w:ind w:left="45"/>
              <w:jc w:val="center"/>
              <w:rPr>
                <w:rFonts w:ascii="Arial"/>
                <w:b/>
                <w:sz w:val="24"/>
              </w:rPr>
            </w:pPr>
            <w:r>
              <w:rPr>
                <w:rFonts w:ascii="Arial"/>
                <w:b/>
                <w:w w:val="99"/>
                <w:sz w:val="24"/>
              </w:rPr>
              <w:t>1</w:t>
            </w:r>
          </w:p>
        </w:tc>
        <w:tc>
          <w:tcPr>
            <w:tcW w:w="707" w:type="dxa"/>
          </w:tcPr>
          <w:p>
            <w:pPr>
              <w:pStyle w:val="9"/>
              <w:spacing w:line="264" w:lineRule="exact"/>
              <w:ind w:left="29"/>
              <w:jc w:val="center"/>
              <w:rPr>
                <w:rFonts w:ascii="Arial"/>
                <w:b/>
                <w:sz w:val="24"/>
              </w:rPr>
            </w:pPr>
            <w:r>
              <w:rPr>
                <w:rFonts w:ascii="Arial"/>
                <w:b/>
                <w:w w:val="99"/>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31" w:hRule="atLeast"/>
        </w:trPr>
        <w:tc>
          <w:tcPr>
            <w:tcW w:w="1465" w:type="dxa"/>
          </w:tcPr>
          <w:p>
            <w:pPr>
              <w:pStyle w:val="9"/>
              <w:spacing w:line="267" w:lineRule="exact"/>
              <w:ind w:left="443" w:right="406"/>
              <w:jc w:val="center"/>
              <w:rPr>
                <w:rFonts w:ascii="Arial"/>
                <w:b/>
                <w:sz w:val="24"/>
              </w:rPr>
            </w:pPr>
            <w:r>
              <w:rPr>
                <w:rFonts w:ascii="Arial"/>
                <w:b/>
                <w:sz w:val="24"/>
              </w:rPr>
              <w:t>CO 4</w:t>
            </w:r>
          </w:p>
        </w:tc>
        <w:tc>
          <w:tcPr>
            <w:tcW w:w="752" w:type="dxa"/>
          </w:tcPr>
          <w:p>
            <w:pPr>
              <w:pStyle w:val="9"/>
              <w:spacing w:line="267" w:lineRule="exact"/>
              <w:ind w:left="38"/>
              <w:jc w:val="center"/>
              <w:rPr>
                <w:rFonts w:ascii="Arial"/>
                <w:b/>
                <w:sz w:val="24"/>
              </w:rPr>
            </w:pPr>
            <w:r>
              <w:rPr>
                <w:rFonts w:ascii="Arial"/>
                <w:b/>
                <w:w w:val="99"/>
                <w:sz w:val="24"/>
              </w:rPr>
              <w:t>3</w:t>
            </w:r>
          </w:p>
        </w:tc>
        <w:tc>
          <w:tcPr>
            <w:tcW w:w="810" w:type="dxa"/>
          </w:tcPr>
          <w:p>
            <w:pPr>
              <w:pStyle w:val="9"/>
              <w:spacing w:line="267" w:lineRule="exact"/>
              <w:ind w:left="31"/>
              <w:jc w:val="center"/>
              <w:rPr>
                <w:rFonts w:ascii="Arial"/>
                <w:b/>
                <w:sz w:val="24"/>
              </w:rPr>
            </w:pPr>
            <w:r>
              <w:rPr>
                <w:rFonts w:ascii="Arial"/>
                <w:b/>
                <w:w w:val="99"/>
                <w:sz w:val="24"/>
              </w:rPr>
              <w:t>-</w:t>
            </w:r>
          </w:p>
        </w:tc>
        <w:tc>
          <w:tcPr>
            <w:tcW w:w="781" w:type="dxa"/>
          </w:tcPr>
          <w:p>
            <w:pPr>
              <w:pStyle w:val="9"/>
              <w:spacing w:line="267" w:lineRule="exact"/>
              <w:ind w:left="44"/>
              <w:jc w:val="center"/>
              <w:rPr>
                <w:rFonts w:ascii="Arial"/>
                <w:b/>
                <w:sz w:val="24"/>
              </w:rPr>
            </w:pPr>
            <w:r>
              <w:rPr>
                <w:rFonts w:ascii="Arial"/>
                <w:b/>
                <w:w w:val="99"/>
                <w:sz w:val="24"/>
              </w:rPr>
              <w:t>2</w:t>
            </w:r>
          </w:p>
        </w:tc>
        <w:tc>
          <w:tcPr>
            <w:tcW w:w="827" w:type="dxa"/>
          </w:tcPr>
          <w:p>
            <w:pPr>
              <w:pStyle w:val="9"/>
              <w:spacing w:line="267" w:lineRule="exact"/>
              <w:ind w:left="34"/>
              <w:jc w:val="center"/>
              <w:rPr>
                <w:rFonts w:ascii="Arial"/>
                <w:b/>
                <w:sz w:val="24"/>
              </w:rPr>
            </w:pPr>
            <w:r>
              <w:rPr>
                <w:rFonts w:ascii="Arial"/>
                <w:b/>
                <w:w w:val="99"/>
                <w:sz w:val="24"/>
              </w:rPr>
              <w:t>2</w:t>
            </w:r>
          </w:p>
        </w:tc>
        <w:tc>
          <w:tcPr>
            <w:tcW w:w="676" w:type="dxa"/>
          </w:tcPr>
          <w:p>
            <w:pPr>
              <w:pStyle w:val="9"/>
              <w:spacing w:line="267" w:lineRule="exact"/>
              <w:ind w:left="45"/>
              <w:jc w:val="center"/>
              <w:rPr>
                <w:rFonts w:ascii="Arial"/>
                <w:b/>
                <w:sz w:val="24"/>
              </w:rPr>
            </w:pPr>
            <w:r>
              <w:rPr>
                <w:rFonts w:ascii="Arial"/>
                <w:b/>
                <w:w w:val="99"/>
                <w:sz w:val="24"/>
              </w:rPr>
              <w:t>1</w:t>
            </w:r>
          </w:p>
        </w:tc>
        <w:tc>
          <w:tcPr>
            <w:tcW w:w="707" w:type="dxa"/>
          </w:tcPr>
          <w:p>
            <w:pPr>
              <w:pStyle w:val="9"/>
              <w:spacing w:line="267" w:lineRule="exact"/>
              <w:ind w:left="29"/>
              <w:jc w:val="center"/>
              <w:rPr>
                <w:rFonts w:ascii="Arial"/>
                <w:b/>
                <w:sz w:val="24"/>
              </w:rPr>
            </w:pPr>
            <w:r>
              <w:rPr>
                <w:rFonts w:ascii="Arial"/>
                <w:b/>
                <w:w w:val="99"/>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7" w:hRule="atLeast"/>
        </w:trPr>
        <w:tc>
          <w:tcPr>
            <w:tcW w:w="1465" w:type="dxa"/>
          </w:tcPr>
          <w:p>
            <w:pPr>
              <w:pStyle w:val="9"/>
              <w:spacing w:line="255" w:lineRule="exact"/>
              <w:ind w:left="443" w:right="406"/>
              <w:jc w:val="center"/>
              <w:rPr>
                <w:rFonts w:ascii="Arial"/>
                <w:b/>
                <w:sz w:val="24"/>
              </w:rPr>
            </w:pPr>
            <w:r>
              <w:rPr>
                <w:rFonts w:ascii="Arial"/>
                <w:b/>
                <w:sz w:val="24"/>
              </w:rPr>
              <w:t>CO 5</w:t>
            </w:r>
          </w:p>
        </w:tc>
        <w:tc>
          <w:tcPr>
            <w:tcW w:w="752" w:type="dxa"/>
          </w:tcPr>
          <w:p>
            <w:pPr>
              <w:pStyle w:val="9"/>
              <w:spacing w:line="255" w:lineRule="exact"/>
              <w:ind w:left="38"/>
              <w:jc w:val="center"/>
              <w:rPr>
                <w:rFonts w:ascii="Arial"/>
                <w:b/>
                <w:sz w:val="24"/>
              </w:rPr>
            </w:pPr>
            <w:r>
              <w:rPr>
                <w:rFonts w:ascii="Arial"/>
                <w:b/>
                <w:w w:val="99"/>
                <w:sz w:val="24"/>
              </w:rPr>
              <w:t>3</w:t>
            </w:r>
          </w:p>
        </w:tc>
        <w:tc>
          <w:tcPr>
            <w:tcW w:w="810" w:type="dxa"/>
          </w:tcPr>
          <w:p>
            <w:pPr>
              <w:pStyle w:val="9"/>
              <w:spacing w:line="255" w:lineRule="exact"/>
              <w:ind w:left="31"/>
              <w:jc w:val="center"/>
              <w:rPr>
                <w:rFonts w:ascii="Arial"/>
                <w:b/>
                <w:sz w:val="24"/>
              </w:rPr>
            </w:pPr>
            <w:r>
              <w:rPr>
                <w:rFonts w:ascii="Arial"/>
                <w:b/>
                <w:w w:val="99"/>
                <w:sz w:val="24"/>
              </w:rPr>
              <w:t>-</w:t>
            </w:r>
          </w:p>
        </w:tc>
        <w:tc>
          <w:tcPr>
            <w:tcW w:w="781" w:type="dxa"/>
          </w:tcPr>
          <w:p>
            <w:pPr>
              <w:pStyle w:val="9"/>
              <w:spacing w:line="255" w:lineRule="exact"/>
              <w:ind w:left="44"/>
              <w:jc w:val="center"/>
              <w:rPr>
                <w:rFonts w:ascii="Arial"/>
                <w:b/>
                <w:sz w:val="24"/>
              </w:rPr>
            </w:pPr>
            <w:r>
              <w:rPr>
                <w:rFonts w:ascii="Arial"/>
                <w:b/>
                <w:w w:val="99"/>
                <w:sz w:val="24"/>
              </w:rPr>
              <w:t>2</w:t>
            </w:r>
          </w:p>
        </w:tc>
        <w:tc>
          <w:tcPr>
            <w:tcW w:w="827" w:type="dxa"/>
          </w:tcPr>
          <w:p>
            <w:pPr>
              <w:pStyle w:val="9"/>
              <w:spacing w:line="255" w:lineRule="exact"/>
              <w:ind w:left="34"/>
              <w:jc w:val="center"/>
              <w:rPr>
                <w:rFonts w:ascii="Arial"/>
                <w:b/>
                <w:sz w:val="24"/>
              </w:rPr>
            </w:pPr>
            <w:r>
              <w:rPr>
                <w:rFonts w:ascii="Arial"/>
                <w:b/>
                <w:w w:val="99"/>
                <w:sz w:val="24"/>
              </w:rPr>
              <w:t>2</w:t>
            </w:r>
          </w:p>
        </w:tc>
        <w:tc>
          <w:tcPr>
            <w:tcW w:w="676" w:type="dxa"/>
          </w:tcPr>
          <w:p>
            <w:pPr>
              <w:pStyle w:val="9"/>
              <w:spacing w:line="255" w:lineRule="exact"/>
              <w:ind w:left="45"/>
              <w:jc w:val="center"/>
              <w:rPr>
                <w:rFonts w:ascii="Arial"/>
                <w:b/>
                <w:sz w:val="24"/>
              </w:rPr>
            </w:pPr>
            <w:r>
              <w:rPr>
                <w:rFonts w:ascii="Arial"/>
                <w:b/>
                <w:w w:val="99"/>
                <w:sz w:val="24"/>
              </w:rPr>
              <w:t>1</w:t>
            </w:r>
          </w:p>
        </w:tc>
        <w:tc>
          <w:tcPr>
            <w:tcW w:w="707" w:type="dxa"/>
          </w:tcPr>
          <w:p>
            <w:pPr>
              <w:pStyle w:val="9"/>
              <w:spacing w:line="255" w:lineRule="exact"/>
              <w:ind w:left="30"/>
              <w:jc w:val="center"/>
              <w:rPr>
                <w:rFonts w:ascii="Arial"/>
                <w:b/>
                <w:sz w:val="24"/>
              </w:rPr>
            </w:pPr>
            <w:r>
              <w:rPr>
                <w:rFonts w:ascii="Arial"/>
                <w:b/>
                <w:w w:val="99"/>
                <w:sz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6" w:hRule="atLeast"/>
        </w:trPr>
        <w:tc>
          <w:tcPr>
            <w:tcW w:w="1465" w:type="dxa"/>
          </w:tcPr>
          <w:p>
            <w:pPr>
              <w:pStyle w:val="9"/>
              <w:spacing w:line="252" w:lineRule="exact"/>
              <w:ind w:left="443" w:right="406"/>
              <w:jc w:val="center"/>
              <w:rPr>
                <w:rFonts w:ascii="Arial"/>
                <w:b/>
                <w:sz w:val="24"/>
              </w:rPr>
            </w:pPr>
            <w:r>
              <w:rPr>
                <w:rFonts w:ascii="Arial"/>
                <w:b/>
                <w:sz w:val="24"/>
              </w:rPr>
              <w:t>CO 6</w:t>
            </w:r>
          </w:p>
        </w:tc>
        <w:tc>
          <w:tcPr>
            <w:tcW w:w="752" w:type="dxa"/>
          </w:tcPr>
          <w:p>
            <w:pPr>
              <w:pStyle w:val="9"/>
              <w:spacing w:line="252" w:lineRule="exact"/>
              <w:ind w:left="38"/>
              <w:jc w:val="center"/>
              <w:rPr>
                <w:rFonts w:ascii="Arial"/>
                <w:b/>
                <w:sz w:val="24"/>
              </w:rPr>
            </w:pPr>
            <w:r>
              <w:rPr>
                <w:rFonts w:ascii="Arial"/>
                <w:b/>
                <w:w w:val="99"/>
                <w:sz w:val="24"/>
              </w:rPr>
              <w:t>3</w:t>
            </w:r>
          </w:p>
        </w:tc>
        <w:tc>
          <w:tcPr>
            <w:tcW w:w="810" w:type="dxa"/>
          </w:tcPr>
          <w:p>
            <w:pPr>
              <w:pStyle w:val="9"/>
              <w:spacing w:line="252" w:lineRule="exact"/>
              <w:ind w:left="31"/>
              <w:jc w:val="center"/>
              <w:rPr>
                <w:rFonts w:ascii="Arial"/>
                <w:b/>
                <w:sz w:val="24"/>
              </w:rPr>
            </w:pPr>
            <w:r>
              <w:rPr>
                <w:rFonts w:ascii="Arial"/>
                <w:b/>
                <w:w w:val="99"/>
                <w:sz w:val="24"/>
              </w:rPr>
              <w:t>-</w:t>
            </w:r>
          </w:p>
        </w:tc>
        <w:tc>
          <w:tcPr>
            <w:tcW w:w="781" w:type="dxa"/>
          </w:tcPr>
          <w:p>
            <w:pPr>
              <w:pStyle w:val="9"/>
              <w:spacing w:line="252" w:lineRule="exact"/>
              <w:ind w:left="44"/>
              <w:jc w:val="center"/>
              <w:rPr>
                <w:rFonts w:ascii="Arial"/>
                <w:b/>
                <w:sz w:val="24"/>
              </w:rPr>
            </w:pPr>
            <w:r>
              <w:rPr>
                <w:rFonts w:ascii="Arial"/>
                <w:b/>
                <w:w w:val="99"/>
                <w:sz w:val="24"/>
              </w:rPr>
              <w:t>2</w:t>
            </w:r>
          </w:p>
        </w:tc>
        <w:tc>
          <w:tcPr>
            <w:tcW w:w="827" w:type="dxa"/>
          </w:tcPr>
          <w:p>
            <w:pPr>
              <w:pStyle w:val="9"/>
              <w:spacing w:line="252" w:lineRule="exact"/>
              <w:ind w:left="34"/>
              <w:jc w:val="center"/>
              <w:rPr>
                <w:rFonts w:ascii="Arial"/>
                <w:b/>
                <w:sz w:val="24"/>
              </w:rPr>
            </w:pPr>
            <w:r>
              <w:rPr>
                <w:rFonts w:ascii="Arial"/>
                <w:b/>
                <w:w w:val="99"/>
                <w:sz w:val="24"/>
              </w:rPr>
              <w:t>-</w:t>
            </w:r>
          </w:p>
        </w:tc>
        <w:tc>
          <w:tcPr>
            <w:tcW w:w="676" w:type="dxa"/>
          </w:tcPr>
          <w:p>
            <w:pPr>
              <w:pStyle w:val="9"/>
              <w:spacing w:line="252" w:lineRule="exact"/>
              <w:ind w:left="45"/>
              <w:jc w:val="center"/>
              <w:rPr>
                <w:rFonts w:ascii="Arial"/>
                <w:b/>
                <w:sz w:val="24"/>
              </w:rPr>
            </w:pPr>
            <w:r>
              <w:rPr>
                <w:rFonts w:ascii="Arial"/>
                <w:b/>
                <w:w w:val="99"/>
                <w:sz w:val="24"/>
              </w:rPr>
              <w:t>1</w:t>
            </w:r>
          </w:p>
        </w:tc>
        <w:tc>
          <w:tcPr>
            <w:tcW w:w="707" w:type="dxa"/>
          </w:tcPr>
          <w:p>
            <w:pPr>
              <w:pStyle w:val="9"/>
              <w:spacing w:line="252" w:lineRule="exact"/>
              <w:ind w:left="29"/>
              <w:jc w:val="center"/>
              <w:rPr>
                <w:rFonts w:ascii="Arial"/>
                <w:b/>
                <w:sz w:val="24"/>
              </w:rPr>
            </w:pPr>
            <w:r>
              <w:rPr>
                <w:rFonts w:ascii="Arial"/>
                <w:b/>
                <w:w w:val="99"/>
                <w:sz w:val="24"/>
              </w:rPr>
              <w:t>-</w:t>
            </w:r>
          </w:p>
        </w:tc>
      </w:tr>
    </w:tbl>
    <w:p>
      <w:pPr>
        <w:pStyle w:val="6"/>
        <w:rPr>
          <w:b/>
          <w:sz w:val="20"/>
        </w:rPr>
      </w:pPr>
    </w:p>
    <w:p>
      <w:pPr>
        <w:pStyle w:val="6"/>
        <w:spacing w:before="7"/>
        <w:rPr>
          <w:b/>
          <w:sz w:val="21"/>
        </w:rPr>
      </w:pPr>
    </w:p>
    <w:p>
      <w:pPr>
        <w:spacing w:before="0"/>
        <w:ind w:left="113" w:right="0" w:firstLine="0"/>
        <w:jc w:val="left"/>
        <w:rPr>
          <w:b/>
          <w:sz w:val="24"/>
        </w:rPr>
      </w:pPr>
      <w:bookmarkStart w:id="8" w:name="Blooms Taxonomy and Knowledge retention("/>
      <w:bookmarkEnd w:id="8"/>
      <w:r>
        <w:rPr>
          <w:b/>
          <w:color w:val="365F91"/>
          <w:sz w:val="24"/>
        </w:rPr>
        <w:t>Blooms Taxonomy and Knowledge retention(For reference)</w:t>
      </w:r>
    </w:p>
    <w:p>
      <w:pPr>
        <w:pStyle w:val="6"/>
        <w:spacing w:before="180"/>
        <w:ind w:left="113"/>
      </w:pPr>
      <w:r>
        <w:t>(Blooms taxonomy has been given for reference)</w:t>
      </w:r>
    </w:p>
    <w:p>
      <w:pPr>
        <w:spacing w:after="0"/>
        <w:sectPr>
          <w:pgSz w:w="11900" w:h="16850"/>
          <w:pgMar w:top="1060" w:right="600" w:bottom="1620" w:left="1020" w:header="284" w:footer="1149" w:gutter="0"/>
          <w:cols w:space="720" w:num="1"/>
        </w:sectPr>
      </w:pPr>
    </w:p>
    <w:p>
      <w:pPr>
        <w:pStyle w:val="6"/>
        <w:spacing w:before="7"/>
        <w:rPr>
          <w:sz w:val="27"/>
        </w:rPr>
      </w:pPr>
    </w:p>
    <w:p>
      <w:pPr>
        <w:pStyle w:val="6"/>
        <w:ind w:left="2770"/>
        <w:rPr>
          <w:sz w:val="20"/>
        </w:rPr>
      </w:pPr>
      <w:r>
        <w:rPr>
          <w:sz w:val="20"/>
        </w:rPr>
        <w:drawing>
          <wp:inline distT="0" distB="0" distL="0" distR="0">
            <wp:extent cx="2755900" cy="19989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8" cstate="print"/>
                    <a:stretch>
                      <a:fillRect/>
                    </a:stretch>
                  </pic:blipFill>
                  <pic:spPr>
                    <a:xfrm>
                      <a:off x="0" y="0"/>
                      <a:ext cx="2756484" cy="1999106"/>
                    </a:xfrm>
                    <a:prstGeom prst="rect">
                      <a:avLst/>
                    </a:prstGeom>
                  </pic:spPr>
                </pic:pic>
              </a:graphicData>
            </a:graphic>
          </wp:inline>
        </w:drawing>
      </w:r>
    </w:p>
    <w:p>
      <w:pPr>
        <w:spacing w:before="156"/>
        <w:ind w:left="3727" w:right="4152" w:firstLine="0"/>
        <w:jc w:val="center"/>
        <w:rPr>
          <w:rFonts w:ascii="Times New Roman"/>
          <w:b/>
          <w:sz w:val="18"/>
        </w:rPr>
      </w:pPr>
      <w:r>
        <w:rPr>
          <w:rFonts w:ascii="Times New Roman"/>
          <w:b/>
          <w:color w:val="4F81BC"/>
          <w:sz w:val="18"/>
        </w:rPr>
        <w:t>Figure 1: Blooms Taxonomy</w:t>
      </w:r>
    </w:p>
    <w:p>
      <w:pPr>
        <w:pStyle w:val="6"/>
        <w:spacing w:before="6"/>
        <w:rPr>
          <w:rFonts w:ascii="Times New Roman"/>
          <w:b/>
          <w:sz w:val="15"/>
        </w:rPr>
      </w:pPr>
      <w:r>
        <w:drawing>
          <wp:anchor distT="0" distB="0" distL="0" distR="0" simplePos="0" relativeHeight="0" behindDoc="0" locked="0" layoutInCell="1" allowOverlap="1">
            <wp:simplePos x="0" y="0"/>
            <wp:positionH relativeFrom="page">
              <wp:posOffset>1778000</wp:posOffset>
            </wp:positionH>
            <wp:positionV relativeFrom="paragraph">
              <wp:posOffset>137795</wp:posOffset>
            </wp:positionV>
            <wp:extent cx="4033520" cy="200342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9" cstate="print"/>
                    <a:stretch>
                      <a:fillRect/>
                    </a:stretch>
                  </pic:blipFill>
                  <pic:spPr>
                    <a:xfrm>
                      <a:off x="0" y="0"/>
                      <a:ext cx="4033416" cy="2003298"/>
                    </a:xfrm>
                    <a:prstGeom prst="rect">
                      <a:avLst/>
                    </a:prstGeom>
                  </pic:spPr>
                </pic:pic>
              </a:graphicData>
            </a:graphic>
          </wp:anchor>
        </w:drawing>
      </w:r>
    </w:p>
    <w:p>
      <w:pPr>
        <w:spacing w:before="122"/>
        <w:ind w:left="3732" w:right="4152" w:firstLine="0"/>
        <w:jc w:val="center"/>
        <w:rPr>
          <w:rFonts w:ascii="Times New Roman"/>
          <w:b/>
          <w:sz w:val="18"/>
        </w:rPr>
      </w:pPr>
      <w:r>
        <w:rPr>
          <w:rFonts w:ascii="Times New Roman"/>
          <w:b/>
          <w:color w:val="4F81BC"/>
          <w:sz w:val="18"/>
        </w:rPr>
        <w:t>Figure 2: Knowledge retention</w:t>
      </w:r>
    </w:p>
    <w:p>
      <w:pPr>
        <w:pStyle w:val="6"/>
        <w:rPr>
          <w:rFonts w:ascii="Times New Roman"/>
          <w:b/>
          <w:sz w:val="20"/>
        </w:rPr>
      </w:pPr>
    </w:p>
    <w:p>
      <w:pPr>
        <w:pStyle w:val="6"/>
        <w:spacing w:before="9"/>
        <w:rPr>
          <w:rFonts w:ascii="Times New Roman"/>
          <w:b/>
          <w:sz w:val="22"/>
        </w:rPr>
      </w:pPr>
    </w:p>
    <w:p>
      <w:pPr>
        <w:pStyle w:val="2"/>
      </w:pPr>
      <w:bookmarkStart w:id="9" w:name="Graduate Qualities and Capabilities cove"/>
      <w:bookmarkEnd w:id="9"/>
      <w:r>
        <w:rPr>
          <w:color w:val="365F91"/>
        </w:rPr>
        <w:t>Graduate Qualities and Capabilities covered</w:t>
      </w:r>
    </w:p>
    <w:p>
      <w:pPr>
        <w:pStyle w:val="6"/>
        <w:spacing w:before="185"/>
        <w:ind w:left="113"/>
      </w:pPr>
      <w:r>
        <w:t>(Qualities graduates harness crediting this Course)</w:t>
      </w:r>
    </w:p>
    <w:p>
      <w:pPr>
        <w:pStyle w:val="6"/>
        <w:rPr>
          <w:sz w:val="20"/>
        </w:rPr>
      </w:pPr>
    </w:p>
    <w:p>
      <w:pPr>
        <w:pStyle w:val="6"/>
        <w:rPr>
          <w:sz w:val="20"/>
        </w:rPr>
      </w:pPr>
    </w:p>
    <w:p>
      <w:pPr>
        <w:pStyle w:val="6"/>
        <w:spacing w:before="8"/>
        <w:rPr>
          <w:sz w:val="15"/>
        </w:rPr>
      </w:pPr>
    </w:p>
    <w:tbl>
      <w:tblPr>
        <w:tblStyle w:val="5"/>
        <w:tblW w:w="9542" w:type="dxa"/>
        <w:tblInd w:w="2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81"/>
        <w:gridCol w:w="4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5" w:hRule="atLeast"/>
        </w:trPr>
        <w:tc>
          <w:tcPr>
            <w:tcW w:w="4681" w:type="dxa"/>
            <w:shd w:val="clear" w:color="auto" w:fill="0E233D"/>
          </w:tcPr>
          <w:p>
            <w:pPr>
              <w:pStyle w:val="9"/>
              <w:ind w:left="107"/>
              <w:rPr>
                <w:rFonts w:ascii="Arial"/>
                <w:b/>
                <w:sz w:val="24"/>
              </w:rPr>
            </w:pPr>
            <w:r>
              <w:rPr>
                <w:rFonts w:ascii="Arial"/>
                <w:b/>
                <w:color w:val="94B3D6"/>
                <w:sz w:val="24"/>
              </w:rPr>
              <w:t>General Graduate Qualities</w:t>
            </w:r>
          </w:p>
        </w:tc>
        <w:tc>
          <w:tcPr>
            <w:tcW w:w="4861" w:type="dxa"/>
            <w:shd w:val="clear" w:color="auto" w:fill="0E233D"/>
          </w:tcPr>
          <w:p>
            <w:pPr>
              <w:pStyle w:val="9"/>
              <w:tabs>
                <w:tab w:val="left" w:pos="3589"/>
              </w:tabs>
              <w:spacing w:line="259" w:lineRule="auto"/>
              <w:ind w:left="107" w:right="206"/>
              <w:rPr>
                <w:rFonts w:ascii="Arial"/>
                <w:b/>
                <w:sz w:val="24"/>
              </w:rPr>
            </w:pPr>
            <w:r>
              <w:rPr>
                <w:rFonts w:ascii="Arial"/>
                <w:b/>
                <w:color w:val="94B3D6"/>
                <w:sz w:val="24"/>
              </w:rPr>
              <w:t>Specific</w:t>
            </w:r>
            <w:r>
              <w:rPr>
                <w:rFonts w:ascii="Arial"/>
                <w:b/>
                <w:color w:val="94B3D6"/>
                <w:spacing w:val="-3"/>
                <w:sz w:val="24"/>
              </w:rPr>
              <w:t xml:space="preserve"> </w:t>
            </w:r>
            <w:r>
              <w:rPr>
                <w:rFonts w:ascii="Arial"/>
                <w:b/>
                <w:color w:val="94B3D6"/>
                <w:sz w:val="24"/>
              </w:rPr>
              <w:t>Department</w:t>
            </w:r>
            <w:r>
              <w:rPr>
                <w:rFonts w:ascii="Arial"/>
                <w:b/>
                <w:color w:val="94B3D6"/>
                <w:spacing w:val="-3"/>
                <w:sz w:val="24"/>
              </w:rPr>
              <w:t xml:space="preserve"> </w:t>
            </w:r>
            <w:r>
              <w:rPr>
                <w:rFonts w:ascii="Arial"/>
                <w:b/>
                <w:color w:val="94B3D6"/>
                <w:sz w:val="24"/>
              </w:rPr>
              <w:t>of</w:t>
            </w:r>
            <w:r>
              <w:rPr>
                <w:rFonts w:ascii="Arial"/>
                <w:b/>
                <w:color w:val="94B3D6"/>
                <w:sz w:val="24"/>
                <w:u w:val="thick" w:color="93B2D5"/>
              </w:rPr>
              <w:t xml:space="preserve"> </w:t>
            </w:r>
            <w:r>
              <w:rPr>
                <w:rFonts w:ascii="Arial"/>
                <w:b/>
                <w:color w:val="94B3D6"/>
                <w:sz w:val="24"/>
                <w:u w:val="thick" w:color="93B2D5"/>
              </w:rPr>
              <w:tab/>
            </w:r>
            <w:r>
              <w:rPr>
                <w:rFonts w:ascii="Arial"/>
                <w:b/>
                <w:color w:val="94B3D6"/>
                <w:spacing w:val="-3"/>
                <w:sz w:val="24"/>
              </w:rPr>
              <w:t xml:space="preserve">Graduate </w:t>
            </w:r>
            <w:r>
              <w:rPr>
                <w:rFonts w:ascii="Arial"/>
                <w:b/>
                <w:color w:val="94B3D6"/>
                <w:sz w:val="24"/>
              </w:rPr>
              <w:t>Capabilities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5" w:hRule="atLeast"/>
        </w:trPr>
        <w:tc>
          <w:tcPr>
            <w:tcW w:w="4681" w:type="dxa"/>
            <w:shd w:val="clear" w:color="auto" w:fill="C5D9F0"/>
          </w:tcPr>
          <w:p>
            <w:pPr>
              <w:pStyle w:val="9"/>
              <w:ind w:left="107"/>
              <w:rPr>
                <w:rFonts w:ascii="Arial"/>
                <w:b/>
                <w:sz w:val="24"/>
              </w:rPr>
            </w:pPr>
            <w:r>
              <w:rPr>
                <w:rFonts w:ascii="Arial"/>
                <w:b/>
                <w:sz w:val="24"/>
              </w:rPr>
              <w:t>Informed</w:t>
            </w:r>
          </w:p>
          <w:p>
            <w:pPr>
              <w:pStyle w:val="9"/>
              <w:spacing w:before="181" w:line="259" w:lineRule="auto"/>
              <w:ind w:left="107"/>
              <w:rPr>
                <w:rFonts w:ascii="Arial"/>
                <w:sz w:val="24"/>
              </w:rPr>
            </w:pPr>
            <w:r>
              <w:rPr>
                <w:rFonts w:ascii="Arial"/>
                <w:sz w:val="24"/>
              </w:rPr>
              <w:t>Have a sound knowledge of an area of study or profession and understand its current issues, locally and internationally. Know how to apply this knowledge.</w:t>
            </w:r>
          </w:p>
          <w:p>
            <w:pPr>
              <w:pStyle w:val="9"/>
              <w:spacing w:line="259" w:lineRule="auto"/>
              <w:ind w:left="107" w:right="573"/>
              <w:jc w:val="both"/>
              <w:rPr>
                <w:rFonts w:ascii="Arial"/>
                <w:sz w:val="24"/>
              </w:rPr>
            </w:pPr>
            <w:r>
              <w:rPr>
                <w:rFonts w:ascii="Arial"/>
                <w:sz w:val="24"/>
              </w:rPr>
              <w:t>Understand how an area of study has developed and how it relates to other areas.</w:t>
            </w:r>
          </w:p>
        </w:tc>
        <w:tc>
          <w:tcPr>
            <w:tcW w:w="4861" w:type="dxa"/>
          </w:tcPr>
          <w:p>
            <w:pPr>
              <w:pStyle w:val="9"/>
              <w:spacing w:line="259" w:lineRule="auto"/>
              <w:ind w:left="107" w:right="216"/>
              <w:rPr>
                <w:rFonts w:ascii="Arial"/>
                <w:b/>
                <w:sz w:val="24"/>
              </w:rPr>
            </w:pPr>
            <w:r>
              <w:rPr>
                <w:rFonts w:ascii="Arial"/>
                <w:b/>
                <w:sz w:val="24"/>
              </w:rPr>
              <w:t>1 Professional knowledge, grounding &amp; awareness</w:t>
            </w:r>
          </w:p>
        </w:tc>
      </w:tr>
    </w:tbl>
    <w:p>
      <w:pPr>
        <w:spacing w:after="0" w:line="259" w:lineRule="auto"/>
        <w:rPr>
          <w:rFonts w:ascii="Arial"/>
          <w:sz w:val="24"/>
        </w:rPr>
        <w:sectPr>
          <w:pgSz w:w="11900" w:h="16850"/>
          <w:pgMar w:top="1060" w:right="600" w:bottom="1620" w:left="1020" w:header="284" w:footer="1149" w:gutter="0"/>
          <w:cols w:space="720" w:num="1"/>
        </w:sectPr>
      </w:pPr>
    </w:p>
    <w:p>
      <w:pPr>
        <w:pStyle w:val="6"/>
        <w:spacing w:before="7"/>
        <w:rPr>
          <w:sz w:val="27"/>
        </w:rPr>
      </w:pPr>
    </w:p>
    <w:tbl>
      <w:tblPr>
        <w:tblStyle w:val="5"/>
        <w:tblW w:w="9542" w:type="dxa"/>
        <w:tblInd w:w="2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81"/>
        <w:gridCol w:w="4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0" w:hRule="atLeast"/>
        </w:trPr>
        <w:tc>
          <w:tcPr>
            <w:tcW w:w="4681" w:type="dxa"/>
          </w:tcPr>
          <w:p>
            <w:pPr>
              <w:pStyle w:val="9"/>
              <w:spacing w:line="274" w:lineRule="exact"/>
              <w:ind w:left="107"/>
              <w:rPr>
                <w:rFonts w:ascii="Arial"/>
                <w:b/>
                <w:sz w:val="24"/>
              </w:rPr>
            </w:pPr>
            <w:r>
              <w:rPr>
                <w:rFonts w:ascii="Arial"/>
                <w:b/>
                <w:sz w:val="24"/>
              </w:rPr>
              <w:t>Independent learners</w:t>
            </w:r>
          </w:p>
          <w:p>
            <w:pPr>
              <w:pStyle w:val="9"/>
              <w:spacing w:before="182" w:line="259" w:lineRule="auto"/>
              <w:ind w:left="107" w:right="194"/>
              <w:rPr>
                <w:rFonts w:ascii="Arial"/>
                <w:sz w:val="24"/>
              </w:rPr>
            </w:pPr>
            <w:r>
              <w:rPr>
                <w:rFonts w:ascii="Arial"/>
                <w:sz w:val="24"/>
              </w:rPr>
              <w:t>Engage with new ideas and ways of thinking and critically analyze issues. Seek to extend knowledge through ongoing research, enquiry and reflection. Find and evaluate information, using a variety of sources and technologies.</w:t>
            </w:r>
          </w:p>
          <w:p>
            <w:pPr>
              <w:pStyle w:val="9"/>
              <w:spacing w:line="259" w:lineRule="auto"/>
              <w:ind w:left="107" w:right="768"/>
              <w:rPr>
                <w:rFonts w:ascii="Arial"/>
                <w:sz w:val="24"/>
              </w:rPr>
            </w:pPr>
            <w:r>
              <w:rPr>
                <w:rFonts w:ascii="Arial"/>
                <w:sz w:val="24"/>
              </w:rPr>
              <w:t>Acknowledge the work and ideas of others.</w:t>
            </w:r>
          </w:p>
        </w:tc>
        <w:tc>
          <w:tcPr>
            <w:tcW w:w="4861" w:type="dxa"/>
          </w:tcPr>
          <w:p>
            <w:pPr>
              <w:pStyle w:val="9"/>
              <w:spacing w:line="259" w:lineRule="auto"/>
              <w:ind w:left="107" w:right="829"/>
              <w:rPr>
                <w:rFonts w:ascii="Arial"/>
                <w:b/>
                <w:sz w:val="24"/>
              </w:rPr>
            </w:pPr>
            <w:r>
              <w:rPr>
                <w:rFonts w:ascii="Arial"/>
                <w:b/>
                <w:sz w:val="24"/>
              </w:rPr>
              <w:t>2 Information literacy, gathering &amp; processing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05" w:hRule="atLeast"/>
        </w:trPr>
        <w:tc>
          <w:tcPr>
            <w:tcW w:w="4681" w:type="dxa"/>
            <w:shd w:val="clear" w:color="auto" w:fill="C5D9F0"/>
          </w:tcPr>
          <w:p>
            <w:pPr>
              <w:pStyle w:val="9"/>
              <w:spacing w:line="274" w:lineRule="exact"/>
              <w:ind w:left="107"/>
              <w:rPr>
                <w:rFonts w:ascii="Arial"/>
                <w:b/>
                <w:sz w:val="24"/>
              </w:rPr>
            </w:pPr>
            <w:r>
              <w:rPr>
                <w:rFonts w:ascii="Arial"/>
                <w:b/>
                <w:sz w:val="24"/>
              </w:rPr>
              <w:t>Problem solvers</w:t>
            </w:r>
          </w:p>
          <w:p>
            <w:pPr>
              <w:pStyle w:val="9"/>
              <w:spacing w:before="183" w:line="259" w:lineRule="auto"/>
              <w:ind w:left="107" w:right="115"/>
              <w:rPr>
                <w:rFonts w:ascii="Arial"/>
                <w:sz w:val="24"/>
              </w:rPr>
            </w:pPr>
            <w:r>
              <w:rPr>
                <w:rFonts w:ascii="Arial"/>
                <w:sz w:val="24"/>
              </w:rPr>
              <w:t>Take on challenges and opportunities. Apply creative, logical and critical thinking skills to respond effectively. Make and implement decisions. Be flexible, thorough, innovative and aim for high standards.</w:t>
            </w:r>
          </w:p>
        </w:tc>
        <w:tc>
          <w:tcPr>
            <w:tcW w:w="4861" w:type="dxa"/>
            <w:shd w:val="clear" w:color="auto" w:fill="C5D9F0"/>
          </w:tcPr>
          <w:p>
            <w:pPr>
              <w:pStyle w:val="9"/>
              <w:spacing w:line="274" w:lineRule="exact"/>
              <w:ind w:left="107"/>
              <w:rPr>
                <w:rFonts w:ascii="Arial"/>
                <w:b/>
                <w:sz w:val="24"/>
              </w:rPr>
            </w:pPr>
            <w:r>
              <w:rPr>
                <w:rFonts w:ascii="Arial"/>
                <w:b/>
                <w:sz w:val="24"/>
              </w:rPr>
              <w:t>4 Problem solving skills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trPr>
        <w:tc>
          <w:tcPr>
            <w:tcW w:w="4681" w:type="dxa"/>
            <w:vMerge w:val="restart"/>
          </w:tcPr>
          <w:p>
            <w:pPr>
              <w:pStyle w:val="9"/>
              <w:ind w:left="107"/>
              <w:rPr>
                <w:rFonts w:ascii="Arial"/>
                <w:b/>
                <w:sz w:val="24"/>
              </w:rPr>
            </w:pPr>
            <w:r>
              <w:rPr>
                <w:rFonts w:ascii="Arial"/>
                <w:b/>
                <w:sz w:val="24"/>
              </w:rPr>
              <w:t>Effective</w:t>
            </w:r>
            <w:r>
              <w:rPr>
                <w:rFonts w:ascii="Arial"/>
                <w:b/>
                <w:spacing w:val="-10"/>
                <w:sz w:val="24"/>
              </w:rPr>
              <w:t xml:space="preserve"> </w:t>
            </w:r>
            <w:r>
              <w:rPr>
                <w:rFonts w:ascii="Arial"/>
                <w:b/>
                <w:sz w:val="24"/>
              </w:rPr>
              <w:t>communicators</w:t>
            </w:r>
          </w:p>
          <w:p>
            <w:pPr>
              <w:pStyle w:val="9"/>
              <w:spacing w:before="180" w:line="259" w:lineRule="auto"/>
              <w:ind w:left="107" w:right="170"/>
              <w:rPr>
                <w:rFonts w:ascii="Arial"/>
                <w:sz w:val="24"/>
              </w:rPr>
            </w:pPr>
            <w:r>
              <w:rPr>
                <w:rFonts w:ascii="Arial"/>
                <w:sz w:val="24"/>
              </w:rPr>
              <w:t>Articulate ideas and convey them effectively using a range of media. Work collaboratively and engage with people</w:t>
            </w:r>
            <w:r>
              <w:rPr>
                <w:rFonts w:ascii="Arial"/>
                <w:spacing w:val="-16"/>
                <w:sz w:val="24"/>
              </w:rPr>
              <w:t xml:space="preserve"> </w:t>
            </w:r>
            <w:r>
              <w:rPr>
                <w:rFonts w:ascii="Arial"/>
                <w:sz w:val="24"/>
              </w:rPr>
              <w:t>in different settings. Recognize how culture can shape</w:t>
            </w:r>
            <w:r>
              <w:rPr>
                <w:rFonts w:ascii="Arial"/>
                <w:spacing w:val="-3"/>
                <w:sz w:val="24"/>
              </w:rPr>
              <w:t xml:space="preserve"> </w:t>
            </w:r>
            <w:r>
              <w:rPr>
                <w:rFonts w:ascii="Arial"/>
                <w:sz w:val="24"/>
              </w:rPr>
              <w:t>communication.</w:t>
            </w:r>
          </w:p>
        </w:tc>
        <w:tc>
          <w:tcPr>
            <w:tcW w:w="4861" w:type="dxa"/>
          </w:tcPr>
          <w:p>
            <w:pPr>
              <w:pStyle w:val="9"/>
              <w:ind w:left="107"/>
              <w:rPr>
                <w:rFonts w:ascii="Arial"/>
                <w:b/>
                <w:sz w:val="24"/>
              </w:rPr>
            </w:pPr>
            <w:r>
              <w:rPr>
                <w:rFonts w:ascii="Arial"/>
                <w:b/>
                <w:sz w:val="24"/>
              </w:rPr>
              <w:t>5 Written communication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trPr>
        <w:tc>
          <w:tcPr>
            <w:tcW w:w="4681" w:type="dxa"/>
            <w:vMerge w:val="continue"/>
            <w:tcBorders>
              <w:top w:val="nil"/>
            </w:tcBorders>
          </w:tcPr>
          <w:p>
            <w:pPr>
              <w:rPr>
                <w:sz w:val="2"/>
                <w:szCs w:val="2"/>
              </w:rPr>
            </w:pPr>
          </w:p>
        </w:tc>
        <w:tc>
          <w:tcPr>
            <w:tcW w:w="4861" w:type="dxa"/>
            <w:shd w:val="clear" w:color="auto" w:fill="C5D9F0"/>
          </w:tcPr>
          <w:p>
            <w:pPr>
              <w:pStyle w:val="9"/>
              <w:spacing w:line="274" w:lineRule="exact"/>
              <w:ind w:left="107"/>
              <w:rPr>
                <w:rFonts w:ascii="Arial"/>
                <w:b/>
                <w:sz w:val="24"/>
              </w:rPr>
            </w:pPr>
            <w:r>
              <w:rPr>
                <w:rFonts w:ascii="Arial"/>
                <w:b/>
                <w:sz w:val="24"/>
              </w:rPr>
              <w:t>6 Oral communication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171" w:hRule="atLeast"/>
        </w:trPr>
        <w:tc>
          <w:tcPr>
            <w:tcW w:w="4681" w:type="dxa"/>
            <w:vMerge w:val="continue"/>
            <w:tcBorders>
              <w:top w:val="nil"/>
            </w:tcBorders>
          </w:tcPr>
          <w:p>
            <w:pPr>
              <w:rPr>
                <w:sz w:val="2"/>
                <w:szCs w:val="2"/>
              </w:rPr>
            </w:pPr>
          </w:p>
        </w:tc>
        <w:tc>
          <w:tcPr>
            <w:tcW w:w="4861" w:type="dxa"/>
          </w:tcPr>
          <w:p>
            <w:pPr>
              <w:pStyle w:val="9"/>
              <w:spacing w:line="274" w:lineRule="exact"/>
              <w:ind w:left="107"/>
              <w:rPr>
                <w:rFonts w:ascii="Arial"/>
                <w:b/>
                <w:sz w:val="24"/>
              </w:rPr>
            </w:pPr>
            <w:r>
              <w:rPr>
                <w:rFonts w:ascii="Arial"/>
                <w:b/>
                <w:sz w:val="24"/>
              </w:rPr>
              <w:t>7 Teamwork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9" w:hRule="atLeast"/>
        </w:trPr>
        <w:tc>
          <w:tcPr>
            <w:tcW w:w="4681" w:type="dxa"/>
          </w:tcPr>
          <w:p>
            <w:pPr>
              <w:pStyle w:val="9"/>
              <w:ind w:left="107"/>
              <w:rPr>
                <w:rFonts w:ascii="Arial"/>
                <w:b/>
                <w:sz w:val="24"/>
              </w:rPr>
            </w:pPr>
            <w:r>
              <w:rPr>
                <w:rFonts w:ascii="Arial"/>
                <w:b/>
                <w:sz w:val="24"/>
              </w:rPr>
              <w:t>Responsible</w:t>
            </w:r>
          </w:p>
          <w:p>
            <w:pPr>
              <w:pStyle w:val="9"/>
              <w:spacing w:before="180" w:line="259" w:lineRule="auto"/>
              <w:ind w:left="107"/>
              <w:rPr>
                <w:rFonts w:ascii="Arial"/>
                <w:sz w:val="24"/>
              </w:rPr>
            </w:pPr>
            <w:r>
              <w:rPr>
                <w:rFonts w:ascii="Arial"/>
                <w:sz w:val="24"/>
              </w:rPr>
              <w:t>Understand how decisions can affect others and make ethically informed choices. Appreciate and respect diversity. Act with integrity as part of local, national, global and professional communities.</w:t>
            </w:r>
          </w:p>
        </w:tc>
        <w:tc>
          <w:tcPr>
            <w:tcW w:w="4861" w:type="dxa"/>
            <w:shd w:val="clear" w:color="auto" w:fill="C5D9F0"/>
          </w:tcPr>
          <w:p>
            <w:pPr>
              <w:pStyle w:val="9"/>
              <w:spacing w:line="259" w:lineRule="auto"/>
              <w:ind w:left="107" w:right="1562"/>
              <w:rPr>
                <w:rFonts w:ascii="Arial"/>
                <w:b/>
                <w:sz w:val="24"/>
              </w:rPr>
            </w:pPr>
            <w:r>
              <w:rPr>
                <w:rFonts w:ascii="Arial"/>
                <w:b/>
                <w:sz w:val="24"/>
              </w:rPr>
              <w:t>10 Sustainability, societal &amp; environmental impact</w:t>
            </w:r>
          </w:p>
        </w:tc>
      </w:tr>
    </w:tbl>
    <w:p>
      <w:pPr>
        <w:pStyle w:val="6"/>
        <w:rPr>
          <w:sz w:val="20"/>
        </w:rPr>
      </w:pPr>
    </w:p>
    <w:p>
      <w:pPr>
        <w:pStyle w:val="6"/>
        <w:spacing w:before="7"/>
        <w:rPr>
          <w:sz w:val="21"/>
        </w:rPr>
      </w:pPr>
    </w:p>
    <w:p>
      <w:pPr>
        <w:pStyle w:val="2"/>
      </w:pPr>
      <w:bookmarkStart w:id="10" w:name="Practical work:"/>
      <w:bookmarkEnd w:id="10"/>
      <w:r>
        <w:rPr>
          <w:color w:val="365F91"/>
        </w:rPr>
        <w:t>Practical work:</w:t>
      </w:r>
    </w:p>
    <w:p>
      <w:pPr>
        <w:pStyle w:val="8"/>
        <w:numPr>
          <w:ilvl w:val="1"/>
          <w:numId w:val="1"/>
        </w:numPr>
        <w:tabs>
          <w:tab w:val="left" w:pos="834"/>
        </w:tabs>
        <w:spacing w:before="180" w:after="0" w:line="240" w:lineRule="auto"/>
        <w:ind w:left="833" w:right="0" w:hanging="361"/>
        <w:jc w:val="left"/>
        <w:rPr>
          <w:rFonts w:ascii="Arial"/>
          <w:sz w:val="24"/>
        </w:rPr>
      </w:pPr>
      <w:r>
        <w:rPr>
          <w:rFonts w:ascii="Arial"/>
          <w:sz w:val="24"/>
        </w:rPr>
        <w:t>ASSIGNMENT -1 Theory Questions from Unit</w:t>
      </w:r>
      <w:r>
        <w:rPr>
          <w:rFonts w:ascii="Arial"/>
          <w:spacing w:val="-5"/>
          <w:sz w:val="24"/>
        </w:rPr>
        <w:t xml:space="preserve"> </w:t>
      </w:r>
      <w:r>
        <w:rPr>
          <w:rFonts w:ascii="Arial"/>
          <w:sz w:val="24"/>
        </w:rPr>
        <w:t>1</w:t>
      </w:r>
    </w:p>
    <w:p>
      <w:pPr>
        <w:pStyle w:val="8"/>
        <w:numPr>
          <w:ilvl w:val="1"/>
          <w:numId w:val="1"/>
        </w:numPr>
        <w:tabs>
          <w:tab w:val="left" w:pos="834"/>
        </w:tabs>
        <w:spacing w:before="182" w:after="0" w:line="240" w:lineRule="auto"/>
        <w:ind w:left="833" w:right="0" w:hanging="361"/>
        <w:jc w:val="left"/>
        <w:rPr>
          <w:rFonts w:ascii="Arial"/>
          <w:sz w:val="24"/>
        </w:rPr>
      </w:pPr>
      <w:r>
        <w:rPr>
          <w:rFonts w:ascii="Arial"/>
          <w:sz w:val="24"/>
        </w:rPr>
        <w:t>ASSIGNMENT -2 Theory Question from Unit 1 &amp;</w:t>
      </w:r>
      <w:r>
        <w:rPr>
          <w:rFonts w:ascii="Arial"/>
          <w:spacing w:val="-8"/>
          <w:sz w:val="24"/>
        </w:rPr>
        <w:t xml:space="preserve"> </w:t>
      </w:r>
      <w:r>
        <w:rPr>
          <w:rFonts w:ascii="Arial"/>
          <w:sz w:val="24"/>
        </w:rPr>
        <w:t>2</w:t>
      </w:r>
    </w:p>
    <w:p>
      <w:pPr>
        <w:pStyle w:val="8"/>
        <w:numPr>
          <w:ilvl w:val="1"/>
          <w:numId w:val="1"/>
        </w:numPr>
        <w:tabs>
          <w:tab w:val="left" w:pos="834"/>
        </w:tabs>
        <w:spacing w:before="183" w:after="0" w:line="240" w:lineRule="auto"/>
        <w:ind w:left="833" w:right="0" w:hanging="361"/>
        <w:jc w:val="left"/>
        <w:rPr>
          <w:rFonts w:ascii="Arial"/>
          <w:sz w:val="24"/>
        </w:rPr>
      </w:pPr>
      <w:r>
        <w:rPr>
          <w:rFonts w:ascii="Arial"/>
          <w:sz w:val="24"/>
        </w:rPr>
        <w:t>ASSIGNMENT -3 Group</w:t>
      </w:r>
      <w:r>
        <w:rPr>
          <w:rFonts w:ascii="Arial"/>
          <w:spacing w:val="3"/>
          <w:sz w:val="24"/>
        </w:rPr>
        <w:t xml:space="preserve"> </w:t>
      </w:r>
      <w:r>
        <w:rPr>
          <w:rFonts w:ascii="Arial"/>
          <w:sz w:val="24"/>
        </w:rPr>
        <w:t>Presentations.</w:t>
      </w:r>
    </w:p>
    <w:p>
      <w:pPr>
        <w:spacing w:after="0" w:line="240" w:lineRule="auto"/>
        <w:jc w:val="left"/>
        <w:rPr>
          <w:rFonts w:ascii="Arial"/>
          <w:sz w:val="24"/>
        </w:rPr>
        <w:sectPr>
          <w:pgSz w:w="11900" w:h="16850"/>
          <w:pgMar w:top="1060" w:right="600" w:bottom="1620" w:left="1020" w:header="284" w:footer="1149" w:gutter="0"/>
          <w:cols w:space="720" w:num="1"/>
        </w:sectPr>
      </w:pPr>
    </w:p>
    <w:p>
      <w:pPr>
        <w:pStyle w:val="6"/>
        <w:spacing w:before="3"/>
        <w:rPr>
          <w:sz w:val="19"/>
        </w:rPr>
      </w:pPr>
    </w:p>
    <w:p>
      <w:pPr>
        <w:pStyle w:val="2"/>
        <w:spacing w:before="93"/>
      </w:pPr>
      <w:bookmarkStart w:id="11" w:name="Lecture/tutorial times"/>
      <w:bookmarkEnd w:id="11"/>
      <w:r>
        <w:rPr>
          <w:color w:val="365F91"/>
        </w:rPr>
        <w:t>Lecture/tutorial times</w:t>
      </w:r>
    </w:p>
    <w:p>
      <w:pPr>
        <w:pStyle w:val="6"/>
        <w:rPr>
          <w:b/>
          <w:sz w:val="26"/>
        </w:rPr>
      </w:pPr>
    </w:p>
    <w:p>
      <w:pPr>
        <w:pStyle w:val="6"/>
        <w:spacing w:before="205"/>
        <w:ind w:left="113"/>
      </w:pPr>
      <w:bookmarkStart w:id="12" w:name="As per  IIMS  Time Table ."/>
      <w:bookmarkEnd w:id="12"/>
      <w:r>
        <w:t>As per IIMS Time Table .</w:t>
      </w:r>
    </w:p>
    <w:p>
      <w:pPr>
        <w:pStyle w:val="6"/>
        <w:rPr>
          <w:sz w:val="26"/>
        </w:rPr>
      </w:pPr>
    </w:p>
    <w:p>
      <w:pPr>
        <w:pStyle w:val="2"/>
        <w:spacing w:before="202"/>
      </w:pPr>
      <w:bookmarkStart w:id="13" w:name="Attendance Requirements"/>
      <w:bookmarkEnd w:id="13"/>
      <w:r>
        <w:rPr>
          <w:color w:val="365F91"/>
        </w:rPr>
        <w:t>Attendance</w:t>
      </w:r>
      <w:r>
        <w:rPr>
          <w:color w:val="365F91"/>
          <w:spacing w:val="-6"/>
        </w:rPr>
        <w:t xml:space="preserve"> </w:t>
      </w:r>
      <w:r>
        <w:rPr>
          <w:color w:val="365F91"/>
        </w:rPr>
        <w:t>Requirements</w:t>
      </w:r>
    </w:p>
    <w:p>
      <w:pPr>
        <w:pStyle w:val="6"/>
        <w:rPr>
          <w:b/>
          <w:sz w:val="26"/>
        </w:rPr>
      </w:pPr>
    </w:p>
    <w:p>
      <w:pPr>
        <w:pStyle w:val="6"/>
        <w:spacing w:before="8"/>
        <w:rPr>
          <w:b/>
          <w:sz w:val="29"/>
        </w:rPr>
      </w:pPr>
    </w:p>
    <w:p>
      <w:pPr>
        <w:pStyle w:val="6"/>
        <w:spacing w:before="1" w:line="247" w:lineRule="auto"/>
        <w:ind w:left="113" w:right="262"/>
      </w:pPr>
      <w:r>
        <w:t>The University norms states that it is the responsibility of students to attend all lectures, tutorials, seminars and practical work as stipulated in the Course outline. Minimum attendance</w:t>
      </w:r>
      <w:r>
        <w:rPr>
          <w:spacing w:val="-6"/>
        </w:rPr>
        <w:t xml:space="preserve"> </w:t>
      </w:r>
      <w:r>
        <w:t>requirement</w:t>
      </w:r>
      <w:r>
        <w:rPr>
          <w:spacing w:val="-6"/>
        </w:rPr>
        <w:t xml:space="preserve"> </w:t>
      </w:r>
      <w:r>
        <w:t>as</w:t>
      </w:r>
      <w:r>
        <w:rPr>
          <w:spacing w:val="-8"/>
        </w:rPr>
        <w:t xml:space="preserve"> </w:t>
      </w:r>
      <w:r>
        <w:t>per</w:t>
      </w:r>
      <w:r>
        <w:rPr>
          <w:spacing w:val="-10"/>
        </w:rPr>
        <w:t xml:space="preserve"> </w:t>
      </w:r>
      <w:r>
        <w:t>university</w:t>
      </w:r>
      <w:r>
        <w:rPr>
          <w:spacing w:val="-8"/>
        </w:rPr>
        <w:t xml:space="preserve"> </w:t>
      </w:r>
      <w:r>
        <w:t>norms</w:t>
      </w:r>
      <w:r>
        <w:rPr>
          <w:spacing w:val="-7"/>
        </w:rPr>
        <w:t xml:space="preserve"> </w:t>
      </w:r>
      <w:r>
        <w:t>is</w:t>
      </w:r>
      <w:r>
        <w:rPr>
          <w:spacing w:val="-6"/>
        </w:rPr>
        <w:t xml:space="preserve"> </w:t>
      </w:r>
      <w:r>
        <w:t>compulsory</w:t>
      </w:r>
      <w:r>
        <w:rPr>
          <w:spacing w:val="-9"/>
        </w:rPr>
        <w:t xml:space="preserve"> </w:t>
      </w:r>
      <w:r>
        <w:t>for</w:t>
      </w:r>
      <w:r>
        <w:rPr>
          <w:spacing w:val="-6"/>
        </w:rPr>
        <w:t xml:space="preserve"> </w:t>
      </w:r>
      <w:r>
        <w:t>being</w:t>
      </w:r>
      <w:r>
        <w:rPr>
          <w:spacing w:val="-8"/>
        </w:rPr>
        <w:t xml:space="preserve"> </w:t>
      </w:r>
      <w:r>
        <w:t>eligible</w:t>
      </w:r>
      <w:r>
        <w:rPr>
          <w:spacing w:val="-5"/>
        </w:rPr>
        <w:t xml:space="preserve"> </w:t>
      </w:r>
      <w:r>
        <w:t>for</w:t>
      </w:r>
      <w:r>
        <w:rPr>
          <w:spacing w:val="-10"/>
        </w:rPr>
        <w:t xml:space="preserve"> </w:t>
      </w:r>
      <w:r>
        <w:t>mid</w:t>
      </w:r>
      <w:r>
        <w:rPr>
          <w:spacing w:val="-5"/>
        </w:rPr>
        <w:t xml:space="preserve"> </w:t>
      </w:r>
      <w:r>
        <w:t>and end semester</w:t>
      </w:r>
      <w:r>
        <w:rPr>
          <w:spacing w:val="-4"/>
        </w:rPr>
        <w:t xml:space="preserve"> </w:t>
      </w:r>
      <w:r>
        <w:t>examinations.</w:t>
      </w:r>
    </w:p>
    <w:p>
      <w:pPr>
        <w:pStyle w:val="6"/>
        <w:rPr>
          <w:sz w:val="26"/>
        </w:rPr>
      </w:pPr>
    </w:p>
    <w:p>
      <w:pPr>
        <w:pStyle w:val="2"/>
        <w:spacing w:before="189"/>
      </w:pPr>
      <w:bookmarkStart w:id="14" w:name="Details of referencing system to be used"/>
      <w:bookmarkEnd w:id="14"/>
      <w:r>
        <w:rPr>
          <w:color w:val="365F91"/>
        </w:rPr>
        <w:t>Details of referencing system to be used in written work</w:t>
      </w:r>
    </w:p>
    <w:p>
      <w:pPr>
        <w:pStyle w:val="6"/>
        <w:rPr>
          <w:b/>
          <w:sz w:val="26"/>
        </w:rPr>
      </w:pPr>
    </w:p>
    <w:p>
      <w:pPr>
        <w:pStyle w:val="6"/>
        <w:spacing w:before="8"/>
        <w:rPr>
          <w:b/>
          <w:sz w:val="29"/>
        </w:rPr>
      </w:pPr>
    </w:p>
    <w:p>
      <w:pPr>
        <w:spacing w:before="0"/>
        <w:ind w:left="113" w:right="0" w:firstLine="0"/>
        <w:jc w:val="left"/>
        <w:rPr>
          <w:b/>
          <w:sz w:val="24"/>
        </w:rPr>
      </w:pPr>
      <w:r>
        <w:rPr>
          <w:b/>
          <w:color w:val="365F91"/>
          <w:sz w:val="24"/>
        </w:rPr>
        <w:t>Text books</w:t>
      </w:r>
    </w:p>
    <w:p>
      <w:pPr>
        <w:pStyle w:val="6"/>
        <w:spacing w:before="183"/>
        <w:ind w:left="113" w:right="1209"/>
      </w:pPr>
      <w:r>
        <w:t>1.The Indian financial system and Development- Vasant Desai, Himalaya Publishing House.</w:t>
      </w:r>
    </w:p>
    <w:p>
      <w:pPr>
        <w:pStyle w:val="6"/>
        <w:rPr>
          <w:sz w:val="26"/>
        </w:rPr>
      </w:pPr>
    </w:p>
    <w:p>
      <w:pPr>
        <w:pStyle w:val="6"/>
        <w:spacing w:before="8"/>
        <w:rPr>
          <w:sz w:val="28"/>
        </w:rPr>
      </w:pPr>
    </w:p>
    <w:p>
      <w:pPr>
        <w:pStyle w:val="2"/>
      </w:pPr>
      <w:bookmarkStart w:id="15" w:name="Additional Materials (Reference Books)"/>
      <w:bookmarkEnd w:id="15"/>
      <w:r>
        <w:rPr>
          <w:color w:val="365F91"/>
        </w:rPr>
        <w:t>Additional Materials (Reference Books)</w:t>
      </w:r>
    </w:p>
    <w:p>
      <w:pPr>
        <w:pStyle w:val="6"/>
        <w:rPr>
          <w:b/>
          <w:sz w:val="26"/>
        </w:rPr>
      </w:pPr>
    </w:p>
    <w:p>
      <w:pPr>
        <w:pStyle w:val="6"/>
        <w:spacing w:before="208" w:line="410" w:lineRule="atLeast"/>
        <w:ind w:left="113" w:right="2544"/>
      </w:pPr>
      <w:r>
        <w:t>1. Financial Markets and Institutions-Dr. S. Gurusamy,Tata McGraw Hill 2.Indian Financial System-M.Y.Khan, Mc.Graw Hill</w:t>
      </w:r>
    </w:p>
    <w:p>
      <w:pPr>
        <w:pStyle w:val="8"/>
        <w:numPr>
          <w:ilvl w:val="0"/>
          <w:numId w:val="3"/>
        </w:numPr>
        <w:tabs>
          <w:tab w:val="left" w:pos="382"/>
        </w:tabs>
        <w:spacing w:before="8" w:after="0" w:line="240" w:lineRule="auto"/>
        <w:ind w:left="381" w:right="0" w:hanging="269"/>
        <w:jc w:val="left"/>
        <w:rPr>
          <w:rFonts w:ascii="Arial"/>
          <w:sz w:val="24"/>
        </w:rPr>
      </w:pPr>
      <w:r>
        <w:rPr>
          <w:rFonts w:ascii="Arial"/>
          <w:sz w:val="24"/>
        </w:rPr>
        <w:t>Financial Management-Prasanna</w:t>
      </w:r>
      <w:r>
        <w:rPr>
          <w:rFonts w:ascii="Arial"/>
          <w:spacing w:val="-1"/>
          <w:sz w:val="24"/>
        </w:rPr>
        <w:t xml:space="preserve"> </w:t>
      </w:r>
      <w:r>
        <w:rPr>
          <w:rFonts w:ascii="Arial"/>
          <w:sz w:val="24"/>
        </w:rPr>
        <w:t>Chandra,</w:t>
      </w:r>
    </w:p>
    <w:p>
      <w:pPr>
        <w:pStyle w:val="8"/>
        <w:numPr>
          <w:ilvl w:val="0"/>
          <w:numId w:val="3"/>
        </w:numPr>
        <w:tabs>
          <w:tab w:val="left" w:pos="382"/>
        </w:tabs>
        <w:spacing w:before="0" w:after="0" w:line="240" w:lineRule="auto"/>
        <w:ind w:left="381" w:right="0" w:hanging="269"/>
        <w:jc w:val="left"/>
        <w:rPr>
          <w:rFonts w:ascii="Arial"/>
          <w:sz w:val="24"/>
        </w:rPr>
      </w:pPr>
      <w:r>
        <w:rPr>
          <w:rFonts w:ascii="Arial"/>
          <w:sz w:val="24"/>
        </w:rPr>
        <w:t>Financial Management-P.V.Kulkarni and</w:t>
      </w:r>
      <w:r>
        <w:rPr>
          <w:rFonts w:ascii="Arial"/>
          <w:spacing w:val="-1"/>
          <w:sz w:val="24"/>
        </w:rPr>
        <w:t xml:space="preserve"> </w:t>
      </w:r>
      <w:r>
        <w:rPr>
          <w:rFonts w:ascii="Arial"/>
          <w:sz w:val="24"/>
        </w:rPr>
        <w:t>Satyaprasad</w:t>
      </w:r>
    </w:p>
    <w:p>
      <w:pPr>
        <w:pStyle w:val="8"/>
        <w:numPr>
          <w:ilvl w:val="0"/>
          <w:numId w:val="3"/>
        </w:numPr>
        <w:tabs>
          <w:tab w:val="left" w:pos="382"/>
        </w:tabs>
        <w:spacing w:before="0" w:after="0" w:line="240" w:lineRule="auto"/>
        <w:ind w:left="381" w:right="0" w:hanging="269"/>
        <w:jc w:val="left"/>
        <w:rPr>
          <w:rFonts w:ascii="Arial"/>
          <w:sz w:val="24"/>
        </w:rPr>
      </w:pPr>
      <w:r>
        <w:rPr>
          <w:rFonts w:ascii="Arial"/>
          <w:sz w:val="24"/>
        </w:rPr>
        <w:t>Financial Management- I.M.Pandey, Vikas Publishing</w:t>
      </w:r>
      <w:r>
        <w:rPr>
          <w:rFonts w:ascii="Arial"/>
          <w:spacing w:val="-7"/>
          <w:sz w:val="24"/>
        </w:rPr>
        <w:t xml:space="preserve"> </w:t>
      </w:r>
      <w:r>
        <w:rPr>
          <w:rFonts w:ascii="Arial"/>
          <w:sz w:val="24"/>
        </w:rPr>
        <w:t>House.</w:t>
      </w:r>
    </w:p>
    <w:p>
      <w:pPr>
        <w:pStyle w:val="6"/>
        <w:rPr>
          <w:sz w:val="26"/>
        </w:rPr>
      </w:pPr>
    </w:p>
    <w:p>
      <w:pPr>
        <w:pStyle w:val="2"/>
        <w:spacing w:before="178"/>
      </w:pPr>
      <w:bookmarkStart w:id="16" w:name="ASSESSMENT GUIDELINES"/>
      <w:bookmarkEnd w:id="16"/>
      <w:r>
        <w:rPr>
          <w:color w:val="365F91"/>
        </w:rPr>
        <w:t>ASSESSMENT GUIDELINES</w:t>
      </w:r>
    </w:p>
    <w:p>
      <w:pPr>
        <w:pStyle w:val="6"/>
        <w:spacing w:before="183"/>
        <w:ind w:left="113"/>
      </w:pPr>
      <w:r>
        <w:t>Your final course mark will be calculated from the following:</w:t>
      </w:r>
    </w:p>
    <w:p>
      <w:pPr>
        <w:pStyle w:val="6"/>
        <w:rPr>
          <w:sz w:val="26"/>
        </w:rPr>
      </w:pPr>
    </w:p>
    <w:p>
      <w:pPr>
        <w:pStyle w:val="6"/>
        <w:spacing w:before="9"/>
        <w:rPr>
          <w:sz w:val="29"/>
        </w:rPr>
      </w:pPr>
    </w:p>
    <w:p>
      <w:pPr>
        <w:pStyle w:val="8"/>
        <w:numPr>
          <w:ilvl w:val="0"/>
          <w:numId w:val="4"/>
        </w:numPr>
        <w:tabs>
          <w:tab w:val="left" w:pos="380"/>
          <w:tab w:val="left" w:pos="2542"/>
          <w:tab w:val="left" w:pos="3089"/>
        </w:tabs>
        <w:spacing w:before="0" w:after="0" w:line="240" w:lineRule="auto"/>
        <w:ind w:left="379" w:right="0" w:hanging="267"/>
        <w:jc w:val="left"/>
        <w:rPr>
          <w:rFonts w:ascii="Arial"/>
          <w:sz w:val="24"/>
        </w:rPr>
      </w:pPr>
      <w:r>
        <w:rPr>
          <w:rFonts w:ascii="Arial"/>
          <w:sz w:val="24"/>
        </w:rPr>
        <w:t>Assignment</w:t>
      </w:r>
      <w:r>
        <w:rPr>
          <w:rFonts w:ascii="Arial"/>
          <w:spacing w:val="64"/>
          <w:sz w:val="24"/>
        </w:rPr>
        <w:t xml:space="preserve"> </w:t>
      </w:r>
      <w:r>
        <w:rPr>
          <w:rFonts w:ascii="Arial"/>
          <w:sz w:val="24"/>
        </w:rPr>
        <w:t>No:</w:t>
      </w:r>
      <w:r>
        <w:rPr>
          <w:rFonts w:ascii="Arial"/>
          <w:spacing w:val="-2"/>
          <w:sz w:val="24"/>
        </w:rPr>
        <w:t xml:space="preserve"> </w:t>
      </w:r>
      <w:r>
        <w:rPr>
          <w:rFonts w:ascii="Arial"/>
          <w:sz w:val="24"/>
        </w:rPr>
        <w:t>1</w:t>
      </w:r>
      <w:r>
        <w:rPr>
          <w:rFonts w:ascii="Arial"/>
          <w:sz w:val="24"/>
        </w:rPr>
        <w:tab/>
      </w:r>
      <w:r>
        <w:rPr>
          <w:rFonts w:ascii="Arial"/>
          <w:sz w:val="24"/>
        </w:rPr>
        <w:t>-</w:t>
      </w:r>
      <w:r>
        <w:rPr>
          <w:rFonts w:ascii="Arial"/>
          <w:sz w:val="24"/>
        </w:rPr>
        <w:tab/>
      </w:r>
      <w:r>
        <w:rPr>
          <w:rFonts w:ascii="Arial"/>
          <w:sz w:val="24"/>
        </w:rPr>
        <w:t>5</w:t>
      </w:r>
      <w:r>
        <w:rPr>
          <w:rFonts w:ascii="Arial"/>
          <w:spacing w:val="64"/>
          <w:sz w:val="24"/>
        </w:rPr>
        <w:t xml:space="preserve"> </w:t>
      </w:r>
      <w:r>
        <w:rPr>
          <w:rFonts w:ascii="Arial"/>
          <w:sz w:val="24"/>
        </w:rPr>
        <w:t>Marks</w:t>
      </w:r>
    </w:p>
    <w:p>
      <w:pPr>
        <w:pStyle w:val="8"/>
        <w:numPr>
          <w:ilvl w:val="0"/>
          <w:numId w:val="4"/>
        </w:numPr>
        <w:tabs>
          <w:tab w:val="left" w:pos="380"/>
          <w:tab w:val="left" w:pos="2676"/>
          <w:tab w:val="left" w:pos="3221"/>
        </w:tabs>
        <w:spacing w:before="182" w:after="0" w:line="240" w:lineRule="auto"/>
        <w:ind w:left="379" w:right="0" w:hanging="267"/>
        <w:jc w:val="left"/>
        <w:rPr>
          <w:rFonts w:ascii="Arial"/>
          <w:sz w:val="24"/>
        </w:rPr>
      </w:pPr>
      <w:r>
        <w:rPr>
          <w:rFonts w:ascii="Arial"/>
          <w:sz w:val="24"/>
        </w:rPr>
        <w:t>MCQ</w:t>
      </w:r>
      <w:r>
        <w:rPr>
          <w:rFonts w:ascii="Arial"/>
          <w:spacing w:val="66"/>
          <w:sz w:val="24"/>
        </w:rPr>
        <w:t xml:space="preserve"> </w:t>
      </w:r>
      <w:r>
        <w:rPr>
          <w:rFonts w:ascii="Arial"/>
          <w:sz w:val="24"/>
        </w:rPr>
        <w:t>Class</w:t>
      </w:r>
      <w:r>
        <w:rPr>
          <w:rFonts w:ascii="Arial"/>
          <w:spacing w:val="66"/>
          <w:sz w:val="24"/>
        </w:rPr>
        <w:t xml:space="preserve"> </w:t>
      </w:r>
      <w:r>
        <w:rPr>
          <w:rFonts w:ascii="Arial"/>
          <w:sz w:val="24"/>
        </w:rPr>
        <w:t>Test</w:t>
      </w:r>
      <w:r>
        <w:rPr>
          <w:rFonts w:ascii="Arial"/>
          <w:sz w:val="24"/>
        </w:rPr>
        <w:tab/>
      </w:r>
      <w:r>
        <w:rPr>
          <w:rFonts w:ascii="Arial"/>
          <w:sz w:val="24"/>
        </w:rPr>
        <w:t>-</w:t>
      </w:r>
      <w:r>
        <w:rPr>
          <w:rFonts w:ascii="Arial"/>
          <w:sz w:val="24"/>
        </w:rPr>
        <w:tab/>
      </w:r>
      <w:r>
        <w:rPr>
          <w:rFonts w:ascii="Arial"/>
          <w:sz w:val="24"/>
        </w:rPr>
        <w:t>5 Marks</w:t>
      </w:r>
    </w:p>
    <w:p>
      <w:pPr>
        <w:pStyle w:val="8"/>
        <w:numPr>
          <w:ilvl w:val="0"/>
          <w:numId w:val="4"/>
        </w:numPr>
        <w:tabs>
          <w:tab w:val="left" w:pos="380"/>
          <w:tab w:val="left" w:pos="3077"/>
        </w:tabs>
        <w:spacing w:before="180" w:after="0" w:line="240" w:lineRule="auto"/>
        <w:ind w:left="379" w:right="0" w:hanging="267"/>
        <w:jc w:val="left"/>
        <w:rPr>
          <w:rFonts w:ascii="Arial"/>
          <w:sz w:val="24"/>
        </w:rPr>
      </w:pPr>
      <w:r>
        <w:rPr>
          <w:rFonts w:ascii="Arial"/>
          <w:sz w:val="24"/>
        </w:rPr>
        <w:t>Group</w:t>
      </w:r>
      <w:r>
        <w:rPr>
          <w:rFonts w:ascii="Arial"/>
          <w:spacing w:val="-3"/>
          <w:sz w:val="24"/>
        </w:rPr>
        <w:t xml:space="preserve"> </w:t>
      </w:r>
      <w:r>
        <w:rPr>
          <w:rFonts w:ascii="Arial"/>
          <w:sz w:val="24"/>
        </w:rPr>
        <w:t xml:space="preserve">Presentation </w:t>
      </w:r>
      <w:r>
        <w:rPr>
          <w:rFonts w:ascii="Arial"/>
          <w:spacing w:val="2"/>
          <w:sz w:val="24"/>
        </w:rPr>
        <w:t xml:space="preserve"> </w:t>
      </w:r>
      <w:r>
        <w:rPr>
          <w:rFonts w:ascii="Arial"/>
          <w:sz w:val="24"/>
        </w:rPr>
        <w:t>-</w:t>
      </w:r>
      <w:r>
        <w:rPr>
          <w:rFonts w:ascii="Arial"/>
          <w:sz w:val="24"/>
        </w:rPr>
        <w:tab/>
      </w:r>
      <w:r>
        <w:rPr>
          <w:rFonts w:ascii="Arial"/>
          <w:sz w:val="24"/>
        </w:rPr>
        <w:t>5</w:t>
      </w:r>
      <w:r>
        <w:rPr>
          <w:rFonts w:ascii="Arial"/>
          <w:spacing w:val="64"/>
          <w:sz w:val="24"/>
        </w:rPr>
        <w:t xml:space="preserve"> </w:t>
      </w:r>
      <w:r>
        <w:rPr>
          <w:rFonts w:ascii="Arial"/>
          <w:sz w:val="24"/>
        </w:rPr>
        <w:t>Marks</w:t>
      </w:r>
    </w:p>
    <w:p>
      <w:pPr>
        <w:pStyle w:val="8"/>
        <w:numPr>
          <w:ilvl w:val="0"/>
          <w:numId w:val="4"/>
        </w:numPr>
        <w:tabs>
          <w:tab w:val="left" w:pos="380"/>
          <w:tab w:val="left" w:pos="2597"/>
          <w:tab w:val="left" w:pos="3077"/>
        </w:tabs>
        <w:spacing w:before="183" w:after="0" w:line="240" w:lineRule="auto"/>
        <w:ind w:left="379" w:right="0" w:hanging="267"/>
        <w:jc w:val="left"/>
        <w:rPr>
          <w:rFonts w:ascii="Arial"/>
          <w:sz w:val="24"/>
        </w:rPr>
      </w:pPr>
      <w:r>
        <w:rPr>
          <w:rFonts w:ascii="Arial"/>
          <w:sz w:val="24"/>
        </w:rPr>
        <w:t>Attendance</w:t>
      </w:r>
      <w:r>
        <w:rPr>
          <w:rFonts w:ascii="Arial"/>
          <w:sz w:val="24"/>
        </w:rPr>
        <w:tab/>
      </w:r>
      <w:r>
        <w:rPr>
          <w:rFonts w:ascii="Arial"/>
          <w:sz w:val="24"/>
        </w:rPr>
        <w:t>-</w:t>
      </w:r>
      <w:r>
        <w:rPr>
          <w:rFonts w:ascii="Arial"/>
          <w:sz w:val="24"/>
        </w:rPr>
        <w:tab/>
      </w:r>
      <w:r>
        <w:rPr>
          <w:rFonts w:ascii="Arial"/>
          <w:sz w:val="24"/>
        </w:rPr>
        <w:t>5</w:t>
      </w:r>
      <w:r>
        <w:rPr>
          <w:rFonts w:ascii="Arial"/>
          <w:spacing w:val="64"/>
          <w:sz w:val="24"/>
        </w:rPr>
        <w:t xml:space="preserve"> </w:t>
      </w:r>
      <w:r>
        <w:rPr>
          <w:rFonts w:ascii="Arial"/>
          <w:sz w:val="24"/>
        </w:rPr>
        <w:t>Marks</w:t>
      </w:r>
    </w:p>
    <w:p>
      <w:pPr>
        <w:pStyle w:val="8"/>
        <w:numPr>
          <w:ilvl w:val="0"/>
          <w:numId w:val="4"/>
        </w:numPr>
        <w:tabs>
          <w:tab w:val="left" w:pos="380"/>
        </w:tabs>
        <w:spacing w:before="182" w:after="0" w:line="240" w:lineRule="auto"/>
        <w:ind w:left="379" w:right="0" w:hanging="267"/>
        <w:jc w:val="left"/>
        <w:rPr>
          <w:rFonts w:ascii="Arial"/>
          <w:sz w:val="24"/>
        </w:rPr>
      </w:pPr>
      <w:r>
        <w:rPr>
          <w:rFonts w:ascii="Arial"/>
          <w:sz w:val="24"/>
        </w:rPr>
        <w:t>Mid Semester Exams - 40</w:t>
      </w:r>
      <w:r>
        <w:rPr>
          <w:rFonts w:ascii="Arial"/>
          <w:spacing w:val="-5"/>
          <w:sz w:val="24"/>
        </w:rPr>
        <w:t xml:space="preserve"> </w:t>
      </w:r>
      <w:r>
        <w:rPr>
          <w:rFonts w:ascii="Arial"/>
          <w:sz w:val="24"/>
        </w:rPr>
        <w:t>Marks</w:t>
      </w:r>
    </w:p>
    <w:p>
      <w:pPr>
        <w:pStyle w:val="8"/>
        <w:numPr>
          <w:ilvl w:val="0"/>
          <w:numId w:val="4"/>
        </w:numPr>
        <w:tabs>
          <w:tab w:val="left" w:pos="380"/>
          <w:tab w:val="left" w:pos="3048"/>
        </w:tabs>
        <w:spacing w:before="182" w:after="0" w:line="240" w:lineRule="auto"/>
        <w:ind w:left="379" w:right="0" w:hanging="267"/>
        <w:jc w:val="left"/>
        <w:rPr>
          <w:rFonts w:ascii="Arial"/>
          <w:sz w:val="24"/>
        </w:rPr>
      </w:pPr>
      <w:r>
        <w:rPr>
          <w:rFonts w:ascii="Arial"/>
          <w:sz w:val="24"/>
        </w:rPr>
        <w:t>End Semester</w:t>
      </w:r>
      <w:r>
        <w:rPr>
          <w:rFonts w:ascii="Arial"/>
          <w:spacing w:val="-4"/>
          <w:sz w:val="24"/>
        </w:rPr>
        <w:t xml:space="preserve"> </w:t>
      </w:r>
      <w:r>
        <w:rPr>
          <w:rFonts w:ascii="Arial"/>
          <w:sz w:val="24"/>
        </w:rPr>
        <w:t>Exams</w:t>
      </w:r>
      <w:r>
        <w:rPr>
          <w:rFonts w:ascii="Arial"/>
          <w:spacing w:val="-1"/>
          <w:sz w:val="24"/>
        </w:rPr>
        <w:t xml:space="preserve"> </w:t>
      </w:r>
      <w:r>
        <w:rPr>
          <w:rFonts w:ascii="Arial"/>
          <w:sz w:val="24"/>
        </w:rPr>
        <w:t>-</w:t>
      </w:r>
      <w:r>
        <w:rPr>
          <w:rFonts w:ascii="Arial"/>
          <w:sz w:val="24"/>
        </w:rPr>
        <w:tab/>
      </w:r>
      <w:r>
        <w:rPr>
          <w:rFonts w:ascii="Arial"/>
          <w:sz w:val="24"/>
        </w:rPr>
        <w:t>40 Marks</w:t>
      </w:r>
    </w:p>
    <w:p>
      <w:pPr>
        <w:spacing w:after="0" w:line="240" w:lineRule="auto"/>
        <w:jc w:val="left"/>
        <w:rPr>
          <w:rFonts w:ascii="Arial"/>
          <w:sz w:val="24"/>
        </w:rPr>
        <w:sectPr>
          <w:pgSz w:w="11900" w:h="16850"/>
          <w:pgMar w:top="1060" w:right="600" w:bottom="1620" w:left="1020" w:header="284" w:footer="1149" w:gutter="0"/>
          <w:cols w:space="720" w:num="1"/>
        </w:sectPr>
      </w:pPr>
    </w:p>
    <w:p>
      <w:pPr>
        <w:pStyle w:val="6"/>
        <w:rPr>
          <w:sz w:val="20"/>
        </w:rPr>
      </w:pPr>
    </w:p>
    <w:p>
      <w:pPr>
        <w:pStyle w:val="6"/>
        <w:rPr>
          <w:sz w:val="20"/>
        </w:rPr>
      </w:pPr>
    </w:p>
    <w:p>
      <w:pPr>
        <w:pStyle w:val="6"/>
        <w:rPr>
          <w:sz w:val="20"/>
        </w:rPr>
      </w:pPr>
    </w:p>
    <w:p>
      <w:pPr>
        <w:pStyle w:val="6"/>
        <w:spacing w:before="1"/>
        <w:rPr>
          <w:sz w:val="27"/>
        </w:rPr>
      </w:pPr>
    </w:p>
    <w:p>
      <w:pPr>
        <w:pStyle w:val="2"/>
        <w:spacing w:before="93"/>
        <w:jc w:val="both"/>
      </w:pPr>
      <w:bookmarkStart w:id="17" w:name="SUPPLEMENTARY ASSESSMENT"/>
      <w:bookmarkEnd w:id="17"/>
      <w:r>
        <w:rPr>
          <w:color w:val="365F91"/>
        </w:rPr>
        <w:t>SUPPLEMENTARY ASSESSMENT</w:t>
      </w:r>
    </w:p>
    <w:p>
      <w:pPr>
        <w:pStyle w:val="6"/>
        <w:rPr>
          <w:b/>
          <w:sz w:val="26"/>
        </w:rPr>
      </w:pPr>
    </w:p>
    <w:p>
      <w:pPr>
        <w:pStyle w:val="6"/>
        <w:spacing w:before="5"/>
        <w:rPr>
          <w:b/>
          <w:sz w:val="29"/>
        </w:rPr>
      </w:pPr>
    </w:p>
    <w:p>
      <w:pPr>
        <w:pStyle w:val="6"/>
        <w:spacing w:before="1" w:line="259" w:lineRule="auto"/>
        <w:ind w:left="113" w:right="535"/>
        <w:jc w:val="both"/>
      </w:pPr>
      <w: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w:t>
      </w:r>
      <w:r>
        <w:rPr>
          <w:spacing w:val="-13"/>
        </w:rPr>
        <w:t xml:space="preserve"> </w:t>
      </w:r>
      <w:r>
        <w:t>(mid</w:t>
      </w:r>
      <w:r>
        <w:rPr>
          <w:spacing w:val="-13"/>
        </w:rPr>
        <w:t xml:space="preserve"> </w:t>
      </w:r>
      <w:r>
        <w:t>semester</w:t>
      </w:r>
      <w:r>
        <w:rPr>
          <w:spacing w:val="-14"/>
        </w:rPr>
        <w:t xml:space="preserve"> </w:t>
      </w:r>
      <w:r>
        <w:t>or</w:t>
      </w:r>
      <w:r>
        <w:rPr>
          <w:spacing w:val="-12"/>
        </w:rPr>
        <w:t xml:space="preserve"> </w:t>
      </w:r>
      <w:r>
        <w:t>end</w:t>
      </w:r>
      <w:r>
        <w:rPr>
          <w:spacing w:val="-11"/>
        </w:rPr>
        <w:t xml:space="preserve"> </w:t>
      </w:r>
      <w:r>
        <w:t>semester)</w:t>
      </w:r>
      <w:r>
        <w:rPr>
          <w:spacing w:val="-14"/>
        </w:rPr>
        <w:t xml:space="preserve"> </w:t>
      </w:r>
      <w:r>
        <w:t>and</w:t>
      </w:r>
      <w:r>
        <w:rPr>
          <w:spacing w:val="-13"/>
        </w:rPr>
        <w:t xml:space="preserve"> </w:t>
      </w:r>
      <w:r>
        <w:t>need</w:t>
      </w:r>
      <w:r>
        <w:rPr>
          <w:spacing w:val="-13"/>
        </w:rPr>
        <w:t xml:space="preserve"> </w:t>
      </w:r>
      <w:r>
        <w:t>to</w:t>
      </w:r>
      <w:r>
        <w:rPr>
          <w:spacing w:val="-12"/>
        </w:rPr>
        <w:t xml:space="preserve"> </w:t>
      </w:r>
      <w:r>
        <w:t>obtain</w:t>
      </w:r>
      <w:r>
        <w:rPr>
          <w:spacing w:val="-13"/>
        </w:rPr>
        <w:t xml:space="preserve"> </w:t>
      </w:r>
      <w:r>
        <w:t>the</w:t>
      </w:r>
      <w:r>
        <w:rPr>
          <w:spacing w:val="-13"/>
        </w:rPr>
        <w:t xml:space="preserve"> </w:t>
      </w:r>
      <w:r>
        <w:t>required</w:t>
      </w:r>
      <w:r>
        <w:rPr>
          <w:spacing w:val="-10"/>
        </w:rPr>
        <w:t xml:space="preserve"> </w:t>
      </w:r>
      <w:r>
        <w:t>minimum</w:t>
      </w:r>
      <w:r>
        <w:rPr>
          <w:spacing w:val="-13"/>
        </w:rPr>
        <w:t xml:space="preserve"> </w:t>
      </w:r>
      <w:r>
        <w:t>40% marks to clear the concerned</w:t>
      </w:r>
      <w:r>
        <w:rPr>
          <w:spacing w:val="-1"/>
        </w:rPr>
        <w:t xml:space="preserve"> </w:t>
      </w:r>
      <w:r>
        <w:t>components.</w:t>
      </w:r>
    </w:p>
    <w:p>
      <w:pPr>
        <w:pStyle w:val="6"/>
        <w:rPr>
          <w:sz w:val="26"/>
        </w:rPr>
      </w:pPr>
    </w:p>
    <w:p>
      <w:pPr>
        <w:pStyle w:val="2"/>
        <w:spacing w:before="181"/>
      </w:pPr>
      <w:bookmarkStart w:id="18" w:name="Practical Work Report/Laboratory Report:"/>
      <w:bookmarkEnd w:id="18"/>
      <w:r>
        <w:rPr>
          <w:color w:val="365F91"/>
        </w:rPr>
        <w:t>Practical Work Report/Laboratory Report:</w:t>
      </w:r>
    </w:p>
    <w:p>
      <w:pPr>
        <w:pStyle w:val="6"/>
        <w:spacing w:before="182" w:line="259" w:lineRule="auto"/>
        <w:ind w:left="113" w:right="541"/>
        <w:jc w:val="both"/>
      </w:pPr>
      <w:r>
        <w:t>A report on the practical work is due the subsequent week after completion of the class by each group.</w:t>
      </w:r>
    </w:p>
    <w:p>
      <w:pPr>
        <w:pStyle w:val="6"/>
        <w:rPr>
          <w:sz w:val="26"/>
        </w:rPr>
      </w:pPr>
    </w:p>
    <w:p>
      <w:pPr>
        <w:pStyle w:val="2"/>
        <w:spacing w:before="180"/>
      </w:pPr>
      <w:bookmarkStart w:id="19" w:name="Late Work"/>
      <w:bookmarkEnd w:id="19"/>
      <w:r>
        <w:rPr>
          <w:color w:val="365F91"/>
        </w:rPr>
        <w:t>Late Work</w:t>
      </w:r>
    </w:p>
    <w:p>
      <w:pPr>
        <w:pStyle w:val="6"/>
        <w:spacing w:before="183" w:line="259" w:lineRule="auto"/>
        <w:ind w:left="113" w:right="530"/>
        <w:jc w:val="both"/>
      </w:pPr>
      <w:r>
        <w:t>Late assignments will not be accepted without supporting documentation. Late submission of the reports will result in a deduction of -% of the maximum mark per calendar day</w:t>
      </w:r>
    </w:p>
    <w:p>
      <w:pPr>
        <w:pStyle w:val="6"/>
        <w:rPr>
          <w:sz w:val="26"/>
        </w:rPr>
      </w:pPr>
    </w:p>
    <w:p>
      <w:pPr>
        <w:pStyle w:val="2"/>
        <w:spacing w:before="180"/>
      </w:pPr>
      <w:bookmarkStart w:id="20" w:name="Format"/>
      <w:bookmarkEnd w:id="20"/>
      <w:r>
        <w:rPr>
          <w:color w:val="365F91"/>
        </w:rPr>
        <w:t>Format</w:t>
      </w:r>
    </w:p>
    <w:p>
      <w:pPr>
        <w:spacing w:before="183" w:line="259" w:lineRule="auto"/>
        <w:ind w:left="113" w:right="532" w:firstLine="0"/>
        <w:jc w:val="both"/>
        <w:rPr>
          <w:b/>
          <w:sz w:val="24"/>
        </w:rPr>
      </w:pPr>
      <w:r>
        <w:rPr>
          <w:sz w:val="24"/>
        </w:rPr>
        <w:t xml:space="preserve">All assignments must be presented in a neat, legible format with all information sources correctly referenced. </w:t>
      </w:r>
      <w:r>
        <w:rPr>
          <w:b/>
          <w:sz w:val="24"/>
        </w:rPr>
        <w:t>Assignment material handed in throughout the session that is not neat and legible will not be marked and will be returned to the student.</w:t>
      </w:r>
    </w:p>
    <w:p>
      <w:pPr>
        <w:pStyle w:val="6"/>
        <w:rPr>
          <w:b/>
          <w:sz w:val="26"/>
        </w:rPr>
      </w:pPr>
    </w:p>
    <w:p>
      <w:pPr>
        <w:pStyle w:val="2"/>
        <w:spacing w:before="179"/>
      </w:pPr>
      <w:bookmarkStart w:id="21" w:name="Retention of Written Work"/>
      <w:bookmarkEnd w:id="21"/>
      <w:r>
        <w:rPr>
          <w:color w:val="365F91"/>
        </w:rPr>
        <w:t>Retention of Written Work</w:t>
      </w:r>
    </w:p>
    <w:p>
      <w:pPr>
        <w:pStyle w:val="6"/>
        <w:spacing w:before="183" w:line="259" w:lineRule="auto"/>
        <w:ind w:left="113" w:right="539"/>
        <w:jc w:val="both"/>
      </w:pPr>
      <w:r>
        <w:t>Written assessment work will be retained by the Course coordinator/lecturer for two weeks after marking to be collected by the students.</w:t>
      </w:r>
    </w:p>
    <w:p>
      <w:pPr>
        <w:pStyle w:val="6"/>
        <w:rPr>
          <w:sz w:val="26"/>
        </w:rPr>
      </w:pPr>
    </w:p>
    <w:p>
      <w:pPr>
        <w:pStyle w:val="2"/>
        <w:spacing w:before="181"/>
      </w:pPr>
      <w:bookmarkStart w:id="22" w:name="University and Faculty Policies"/>
      <w:bookmarkEnd w:id="22"/>
      <w:r>
        <w:rPr>
          <w:color w:val="365F91"/>
        </w:rPr>
        <w:t>University and Faculty Policies</w:t>
      </w:r>
    </w:p>
    <w:p>
      <w:pPr>
        <w:pStyle w:val="6"/>
        <w:spacing w:before="182" w:line="259" w:lineRule="auto"/>
        <w:ind w:left="113" w:right="538"/>
        <w:jc w:val="both"/>
      </w:pPr>
      <w:r>
        <w:t>Students</w:t>
      </w:r>
      <w:r>
        <w:rPr>
          <w:spacing w:val="-11"/>
        </w:rPr>
        <w:t xml:space="preserve"> </w:t>
      </w:r>
      <w:r>
        <w:t>should</w:t>
      </w:r>
      <w:r>
        <w:rPr>
          <w:spacing w:val="-12"/>
        </w:rPr>
        <w:t xml:space="preserve"> </w:t>
      </w:r>
      <w:r>
        <w:t>make</w:t>
      </w:r>
      <w:r>
        <w:rPr>
          <w:spacing w:val="-12"/>
        </w:rPr>
        <w:t xml:space="preserve"> </w:t>
      </w:r>
      <w:r>
        <w:t>themselves</w:t>
      </w:r>
      <w:r>
        <w:rPr>
          <w:spacing w:val="-12"/>
        </w:rPr>
        <w:t xml:space="preserve"> </w:t>
      </w:r>
      <w:r>
        <w:t>aware</w:t>
      </w:r>
      <w:r>
        <w:rPr>
          <w:spacing w:val="-10"/>
        </w:rPr>
        <w:t xml:space="preserve"> </w:t>
      </w:r>
      <w:r>
        <w:t>of</w:t>
      </w:r>
      <w:r>
        <w:rPr>
          <w:spacing w:val="-9"/>
        </w:rPr>
        <w:t xml:space="preserve"> </w:t>
      </w:r>
      <w:r>
        <w:t>the</w:t>
      </w:r>
      <w:r>
        <w:rPr>
          <w:spacing w:val="-10"/>
        </w:rPr>
        <w:t xml:space="preserve"> </w:t>
      </w:r>
      <w:r>
        <w:t>University</w:t>
      </w:r>
      <w:r>
        <w:rPr>
          <w:spacing w:val="-13"/>
        </w:rPr>
        <w:t xml:space="preserve"> </w:t>
      </w:r>
      <w:r>
        <w:t>and/or</w:t>
      </w:r>
      <w:r>
        <w:rPr>
          <w:spacing w:val="-12"/>
        </w:rPr>
        <w:t xml:space="preserve"> </w:t>
      </w:r>
      <w:r>
        <w:t>Faculty</w:t>
      </w:r>
      <w:r>
        <w:rPr>
          <w:spacing w:val="-13"/>
        </w:rPr>
        <w:t xml:space="preserve"> </w:t>
      </w:r>
      <w:r>
        <w:t>Policies</w:t>
      </w:r>
      <w:r>
        <w:rPr>
          <w:spacing w:val="-10"/>
        </w:rPr>
        <w:t xml:space="preserve"> </w:t>
      </w:r>
      <w:r>
        <w:t>regarding plagiarism, special consideration, supplementary examinations and other educational issues and student</w:t>
      </w:r>
      <w:r>
        <w:rPr>
          <w:spacing w:val="-3"/>
        </w:rPr>
        <w:t xml:space="preserve"> </w:t>
      </w:r>
      <w:r>
        <w:t>matters.</w:t>
      </w:r>
    </w:p>
    <w:p>
      <w:pPr>
        <w:pStyle w:val="6"/>
        <w:rPr>
          <w:sz w:val="26"/>
        </w:rPr>
      </w:pPr>
    </w:p>
    <w:p>
      <w:pPr>
        <w:pStyle w:val="6"/>
        <w:spacing w:before="6"/>
        <w:rPr>
          <w:sz w:val="27"/>
        </w:rPr>
      </w:pPr>
    </w:p>
    <w:p>
      <w:pPr>
        <w:pStyle w:val="6"/>
        <w:spacing w:line="259" w:lineRule="auto"/>
        <w:ind w:left="113" w:right="538"/>
        <w:jc w:val="both"/>
      </w:pPr>
      <w:r>
        <w:rPr>
          <w:b/>
        </w:rPr>
        <w:t>Plagi</w:t>
      </w:r>
      <w:r>
        <w:t>a</w:t>
      </w:r>
      <w:r>
        <w:rPr>
          <w:b/>
        </w:rPr>
        <w:t xml:space="preserve">rism </w:t>
      </w:r>
      <w:r>
        <w:t>- Plagiarism is not acceptable and may result in the imposition of severe penalties. Plagiarism is the use of another person’s work, or idea, as if it is his or her own</w:t>
      </w:r>
    </w:p>
    <w:p>
      <w:pPr>
        <w:pStyle w:val="6"/>
        <w:spacing w:before="2" w:line="259" w:lineRule="auto"/>
        <w:ind w:left="113" w:right="530"/>
        <w:jc w:val="both"/>
      </w:pPr>
      <w:r>
        <w:t>- if you have any doubts at all on what constitutes plagiarism, please consult your Course coordinator or lecturer. Plagiarism will be penalized severely.</w:t>
      </w:r>
    </w:p>
    <w:p>
      <w:pPr>
        <w:spacing w:after="0" w:line="259" w:lineRule="auto"/>
        <w:jc w:val="both"/>
        <w:sectPr>
          <w:pgSz w:w="11900" w:h="16850"/>
          <w:pgMar w:top="1060" w:right="600" w:bottom="1620" w:left="1020" w:header="284" w:footer="1149" w:gutter="0"/>
          <w:cols w:space="720" w:num="1"/>
        </w:sectPr>
      </w:pPr>
    </w:p>
    <w:p>
      <w:pPr>
        <w:pStyle w:val="6"/>
        <w:rPr>
          <w:sz w:val="20"/>
        </w:rPr>
      </w:pPr>
    </w:p>
    <w:p>
      <w:pPr>
        <w:pStyle w:val="6"/>
        <w:rPr>
          <w:sz w:val="20"/>
        </w:rPr>
      </w:pPr>
    </w:p>
    <w:p>
      <w:pPr>
        <w:pStyle w:val="6"/>
        <w:spacing w:before="4"/>
        <w:rPr>
          <w:sz w:val="19"/>
        </w:rPr>
      </w:pPr>
    </w:p>
    <w:p>
      <w:pPr>
        <w:pStyle w:val="3"/>
        <w:spacing w:before="92"/>
        <w:rPr>
          <w:i/>
        </w:rPr>
      </w:pPr>
      <w:r>
        <w:rPr>
          <w:i/>
        </w:rPr>
        <w:t>Do not copy the work of other students.</w:t>
      </w:r>
    </w:p>
    <w:p>
      <w:pPr>
        <w:spacing w:before="180" w:line="259" w:lineRule="auto"/>
        <w:ind w:left="113" w:right="1159" w:firstLine="0"/>
        <w:jc w:val="left"/>
        <w:rPr>
          <w:b/>
          <w:i/>
          <w:sz w:val="24"/>
        </w:rPr>
      </w:pPr>
      <w:r>
        <w:rPr>
          <w:b/>
          <w:i/>
          <w:sz w:val="24"/>
        </w:rPr>
        <w:t>Do not share your work with other students (except where required for a group activity or assessment)</w:t>
      </w:r>
    </w:p>
    <w:p>
      <w:pPr>
        <w:spacing w:after="0" w:line="259" w:lineRule="auto"/>
        <w:jc w:val="left"/>
        <w:rPr>
          <w:sz w:val="24"/>
        </w:rPr>
        <w:sectPr>
          <w:pgSz w:w="11900" w:h="16850"/>
          <w:pgMar w:top="1060" w:right="600" w:bottom="1620" w:left="1020" w:header="284" w:footer="1149" w:gutter="0"/>
          <w:cols w:space="720" w:num="1"/>
        </w:sectPr>
      </w:pPr>
    </w:p>
    <w:p>
      <w:pPr>
        <w:spacing w:before="80"/>
        <w:ind w:left="113" w:right="0" w:firstLine="0"/>
        <w:jc w:val="left"/>
        <w:rPr>
          <w:rFonts w:ascii="Times New Roman"/>
          <w:b/>
          <w:i/>
          <w:sz w:val="24"/>
        </w:rPr>
      </w:pPr>
      <w:r>
        <w:rPr>
          <w:rFonts w:ascii="Times New Roman"/>
          <w:b/>
          <w:i/>
          <w:sz w:val="24"/>
        </w:rPr>
        <w:t>.</w:t>
      </w:r>
    </w:p>
    <w:p>
      <w:pPr>
        <w:pStyle w:val="6"/>
        <w:rPr>
          <w:rFonts w:ascii="Times New Roman"/>
          <w:b/>
          <w:i/>
          <w:sz w:val="26"/>
        </w:rPr>
      </w:pPr>
    </w:p>
    <w:p>
      <w:pPr>
        <w:spacing w:before="201"/>
        <w:ind w:left="113" w:right="0" w:firstLine="0"/>
        <w:jc w:val="left"/>
        <w:rPr>
          <w:rFonts w:ascii="Caladea"/>
          <w:b/>
          <w:sz w:val="28"/>
        </w:rPr>
      </w:pPr>
      <w:bookmarkStart w:id="23" w:name="Course schedule(subject to change)"/>
      <w:bookmarkEnd w:id="23"/>
      <w:r>
        <w:rPr>
          <w:rFonts w:ascii="Caladea"/>
          <w:b/>
          <w:color w:val="365F91"/>
          <w:sz w:val="28"/>
        </w:rPr>
        <w:t>Course schedule(subject to change)</w:t>
      </w:r>
    </w:p>
    <w:p>
      <w:pPr>
        <w:pStyle w:val="2"/>
        <w:spacing w:before="187" w:line="259" w:lineRule="auto"/>
        <w:ind w:right="1179"/>
        <w:rPr>
          <w:rFonts w:ascii="Times New Roman"/>
        </w:rPr>
      </w:pPr>
      <w:r>
        <w:rPr>
          <w:rFonts w:ascii="Times New Roman"/>
        </w:rPr>
        <w:t>(Mention quiz, assignment submission, breaksetcas well in the table under the Teaching Learning Activity Column)</w:t>
      </w:r>
    </w:p>
    <w:p>
      <w:pPr>
        <w:pStyle w:val="6"/>
        <w:rPr>
          <w:rFonts w:ascii="Times New Roman"/>
          <w:b/>
          <w:sz w:val="20"/>
        </w:rPr>
      </w:pPr>
    </w:p>
    <w:p>
      <w:pPr>
        <w:pStyle w:val="6"/>
        <w:rPr>
          <w:rFonts w:ascii="Times New Roman"/>
          <w:b/>
          <w:sz w:val="20"/>
        </w:rPr>
      </w:pPr>
    </w:p>
    <w:p>
      <w:pPr>
        <w:pStyle w:val="6"/>
        <w:spacing w:before="10"/>
        <w:rPr>
          <w:rFonts w:ascii="Times New Roman"/>
          <w:b/>
          <w:sz w:val="13"/>
        </w:rPr>
      </w:pPr>
    </w:p>
    <w:tbl>
      <w:tblPr>
        <w:tblStyle w:val="5"/>
        <w:tblW w:w="9853" w:type="dxa"/>
        <w:tblInd w:w="30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94"/>
        <w:gridCol w:w="1095"/>
        <w:gridCol w:w="4374"/>
        <w:gridCol w:w="1340"/>
        <w:gridCol w:w="265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660" w:hRule="atLeast"/>
        </w:trPr>
        <w:tc>
          <w:tcPr>
            <w:tcW w:w="394" w:type="dxa"/>
            <w:tcBorders>
              <w:bottom w:val="single" w:color="000000" w:sz="4" w:space="0"/>
              <w:right w:val="single" w:color="000000" w:sz="4" w:space="0"/>
            </w:tcBorders>
          </w:tcPr>
          <w:p>
            <w:pPr>
              <w:pStyle w:val="9"/>
              <w:rPr>
                <w:sz w:val="24"/>
              </w:rPr>
            </w:pPr>
          </w:p>
        </w:tc>
        <w:tc>
          <w:tcPr>
            <w:tcW w:w="1095" w:type="dxa"/>
            <w:tcBorders>
              <w:left w:val="single" w:color="000000" w:sz="4" w:space="0"/>
              <w:bottom w:val="single" w:color="000000" w:sz="4" w:space="0"/>
              <w:right w:val="single" w:color="000000" w:sz="4" w:space="0"/>
            </w:tcBorders>
            <w:shd w:val="clear" w:color="auto" w:fill="0D223C"/>
          </w:tcPr>
          <w:p>
            <w:pPr>
              <w:pStyle w:val="9"/>
              <w:rPr>
                <w:b/>
                <w:sz w:val="26"/>
              </w:rPr>
            </w:pPr>
          </w:p>
          <w:p>
            <w:pPr>
              <w:pStyle w:val="9"/>
              <w:spacing w:before="159"/>
              <w:ind w:left="148"/>
              <w:rPr>
                <w:rFonts w:ascii="Arial"/>
                <w:b/>
                <w:sz w:val="24"/>
              </w:rPr>
            </w:pPr>
            <w:r>
              <w:rPr>
                <w:rFonts w:ascii="Arial"/>
                <w:b/>
                <w:color w:val="93B3D5"/>
                <w:sz w:val="24"/>
              </w:rPr>
              <w:t>Week #</w:t>
            </w:r>
          </w:p>
        </w:tc>
        <w:tc>
          <w:tcPr>
            <w:tcW w:w="4374" w:type="dxa"/>
            <w:tcBorders>
              <w:left w:val="single" w:color="000000" w:sz="4" w:space="0"/>
              <w:bottom w:val="single" w:color="000000" w:sz="4" w:space="0"/>
              <w:right w:val="single" w:color="000000" w:sz="4" w:space="0"/>
            </w:tcBorders>
            <w:shd w:val="clear" w:color="auto" w:fill="0D223C"/>
          </w:tcPr>
          <w:p>
            <w:pPr>
              <w:pStyle w:val="9"/>
              <w:rPr>
                <w:b/>
                <w:sz w:val="26"/>
              </w:rPr>
            </w:pPr>
          </w:p>
          <w:p>
            <w:pPr>
              <w:pStyle w:val="9"/>
              <w:spacing w:before="159"/>
              <w:ind w:left="149"/>
              <w:rPr>
                <w:rFonts w:ascii="Arial"/>
                <w:b/>
                <w:sz w:val="24"/>
              </w:rPr>
            </w:pPr>
            <w:r>
              <w:rPr>
                <w:rFonts w:ascii="Arial"/>
                <w:b/>
                <w:color w:val="93B3D5"/>
                <w:sz w:val="24"/>
              </w:rPr>
              <w:t>Topic &amp; contents</w:t>
            </w:r>
          </w:p>
        </w:tc>
        <w:tc>
          <w:tcPr>
            <w:tcW w:w="1340" w:type="dxa"/>
            <w:tcBorders>
              <w:left w:val="single" w:color="000000" w:sz="4" w:space="0"/>
              <w:bottom w:val="single" w:color="000000" w:sz="4" w:space="0"/>
              <w:right w:val="single" w:color="000000" w:sz="4" w:space="0"/>
            </w:tcBorders>
            <w:shd w:val="clear" w:color="auto" w:fill="0D223C"/>
          </w:tcPr>
          <w:p>
            <w:pPr>
              <w:pStyle w:val="9"/>
              <w:spacing w:before="6"/>
              <w:rPr>
                <w:b/>
                <w:sz w:val="38"/>
              </w:rPr>
            </w:pPr>
          </w:p>
          <w:p>
            <w:pPr>
              <w:pStyle w:val="9"/>
              <w:ind w:left="149"/>
              <w:rPr>
                <w:rFonts w:ascii="Arial"/>
                <w:b/>
                <w:sz w:val="24"/>
              </w:rPr>
            </w:pPr>
            <w:r>
              <w:rPr>
                <w:rFonts w:ascii="Arial"/>
                <w:b/>
                <w:color w:val="93B3D5"/>
                <w:sz w:val="24"/>
              </w:rPr>
              <w:t>CO</w:t>
            </w:r>
          </w:p>
          <w:p>
            <w:pPr>
              <w:pStyle w:val="9"/>
              <w:spacing w:before="183" w:line="259" w:lineRule="auto"/>
              <w:ind w:left="149" w:right="67"/>
              <w:rPr>
                <w:rFonts w:ascii="Arial"/>
                <w:b/>
                <w:sz w:val="24"/>
              </w:rPr>
            </w:pPr>
            <w:r>
              <w:rPr>
                <w:rFonts w:ascii="Arial"/>
                <w:b/>
                <w:color w:val="93B3D5"/>
                <w:sz w:val="24"/>
              </w:rPr>
              <w:t>Addresse d</w:t>
            </w:r>
          </w:p>
        </w:tc>
        <w:tc>
          <w:tcPr>
            <w:tcW w:w="2650" w:type="dxa"/>
            <w:tcBorders>
              <w:left w:val="single" w:color="000000" w:sz="4" w:space="0"/>
              <w:bottom w:val="single" w:color="000000" w:sz="4" w:space="0"/>
            </w:tcBorders>
            <w:shd w:val="clear" w:color="auto" w:fill="0D223C"/>
          </w:tcPr>
          <w:p>
            <w:pPr>
              <w:pStyle w:val="9"/>
              <w:spacing w:before="141" w:line="259" w:lineRule="auto"/>
              <w:ind w:left="149" w:right="613"/>
              <w:rPr>
                <w:rFonts w:ascii="Arial"/>
                <w:b/>
                <w:sz w:val="24"/>
              </w:rPr>
            </w:pPr>
            <w:r>
              <w:rPr>
                <w:rFonts w:ascii="Arial"/>
                <w:b/>
                <w:color w:val="93B3D5"/>
                <w:sz w:val="24"/>
              </w:rPr>
              <w:t>Teaching Learning Activity (TLA)</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185" w:hRule="atLeast"/>
        </w:trPr>
        <w:tc>
          <w:tcPr>
            <w:tcW w:w="394" w:type="dxa"/>
            <w:vMerge w:val="restart"/>
            <w:tcBorders>
              <w:top w:val="single" w:color="000000" w:sz="4" w:space="0"/>
              <w:bottom w:val="single" w:color="000000" w:sz="4" w:space="0"/>
              <w:right w:val="single" w:color="000000" w:sz="4" w:space="0"/>
            </w:tcBorders>
          </w:tcPr>
          <w:p>
            <w:pPr>
              <w:pStyle w:val="9"/>
              <w:rPr>
                <w:sz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C5D9EF"/>
          </w:tcPr>
          <w:p>
            <w:pPr>
              <w:pStyle w:val="9"/>
              <w:rPr>
                <w:b/>
                <w:sz w:val="26"/>
              </w:rPr>
            </w:pPr>
          </w:p>
          <w:p>
            <w:pPr>
              <w:pStyle w:val="9"/>
              <w:spacing w:before="216"/>
              <w:ind w:left="148"/>
              <w:rPr>
                <w:sz w:val="24"/>
              </w:rPr>
            </w:pPr>
            <w:r>
              <w:rPr>
                <w:sz w:val="24"/>
              </w:rPr>
              <w:t>Weeks 1</w:t>
            </w:r>
          </w:p>
        </w:tc>
        <w:tc>
          <w:tcPr>
            <w:tcW w:w="4374" w:type="dxa"/>
            <w:tcBorders>
              <w:top w:val="single" w:color="000000" w:sz="4" w:space="0"/>
              <w:left w:val="single" w:color="000000" w:sz="4" w:space="0"/>
              <w:bottom w:val="single" w:color="000000" w:sz="4" w:space="0"/>
              <w:right w:val="single" w:color="000000" w:sz="4" w:space="0"/>
            </w:tcBorders>
            <w:shd w:val="clear" w:color="auto" w:fill="C5D9EF"/>
          </w:tcPr>
          <w:p>
            <w:pPr>
              <w:pStyle w:val="9"/>
              <w:spacing w:line="275" w:lineRule="exact"/>
              <w:ind w:left="113"/>
              <w:rPr>
                <w:b/>
                <w:sz w:val="24"/>
              </w:rPr>
            </w:pPr>
            <w:r>
              <w:rPr>
                <w:b/>
                <w:sz w:val="24"/>
              </w:rPr>
              <w:t>UNIT- 1</w:t>
            </w:r>
          </w:p>
          <w:p>
            <w:pPr>
              <w:pStyle w:val="9"/>
              <w:spacing w:before="3"/>
              <w:rPr>
                <w:b/>
                <w:sz w:val="27"/>
              </w:rPr>
            </w:pPr>
          </w:p>
          <w:p>
            <w:pPr>
              <w:pStyle w:val="9"/>
              <w:spacing w:before="1"/>
              <w:ind w:left="113"/>
              <w:rPr>
                <w:sz w:val="24"/>
              </w:rPr>
            </w:pPr>
            <w:r>
              <w:rPr>
                <w:b/>
                <w:sz w:val="24"/>
              </w:rPr>
              <w:t>Financial system</w:t>
            </w:r>
            <w:r>
              <w:rPr>
                <w:sz w:val="24"/>
              </w:rPr>
              <w:t>:</w:t>
            </w:r>
          </w:p>
          <w:p>
            <w:pPr>
              <w:pStyle w:val="9"/>
              <w:spacing w:before="11"/>
              <w:rPr>
                <w:b/>
                <w:sz w:val="27"/>
              </w:rPr>
            </w:pPr>
          </w:p>
          <w:p>
            <w:pPr>
              <w:pStyle w:val="9"/>
              <w:ind w:left="149" w:right="15"/>
              <w:rPr>
                <w:sz w:val="24"/>
              </w:rPr>
            </w:pPr>
            <w:r>
              <w:rPr>
                <w:sz w:val="24"/>
              </w:rPr>
              <w:t>Meaning, Regulatory Structure of the Indian Financial System , Role of Financial Institutions in Economic Development</w:t>
            </w:r>
          </w:p>
        </w:tc>
        <w:tc>
          <w:tcPr>
            <w:tcW w:w="1340" w:type="dxa"/>
            <w:tcBorders>
              <w:top w:val="single" w:color="000000" w:sz="4" w:space="0"/>
              <w:left w:val="single" w:color="000000" w:sz="4" w:space="0"/>
              <w:bottom w:val="single" w:color="000000" w:sz="4" w:space="0"/>
              <w:right w:val="single" w:color="000000" w:sz="4" w:space="0"/>
            </w:tcBorders>
            <w:shd w:val="clear" w:color="auto" w:fill="C5D9EF"/>
          </w:tcPr>
          <w:p>
            <w:pPr>
              <w:pStyle w:val="9"/>
              <w:spacing w:line="274" w:lineRule="exact"/>
              <w:ind w:left="149"/>
              <w:rPr>
                <w:rFonts w:ascii="Arial"/>
                <w:sz w:val="24"/>
              </w:rPr>
            </w:pPr>
            <w:r>
              <w:rPr>
                <w:rFonts w:ascii="Arial"/>
                <w:sz w:val="24"/>
              </w:rPr>
              <w:t>CO1</w:t>
            </w:r>
          </w:p>
        </w:tc>
        <w:tc>
          <w:tcPr>
            <w:tcW w:w="2650" w:type="dxa"/>
            <w:tcBorders>
              <w:top w:val="single" w:color="000000" w:sz="4" w:space="0"/>
              <w:left w:val="single" w:color="000000" w:sz="4" w:space="0"/>
              <w:bottom w:val="single" w:color="000000" w:sz="4" w:space="0"/>
            </w:tcBorders>
            <w:shd w:val="clear" w:color="auto" w:fill="C5D9EF"/>
          </w:tcPr>
          <w:p>
            <w:pPr>
              <w:pStyle w:val="9"/>
              <w:rPr>
                <w:b/>
                <w:sz w:val="26"/>
              </w:rPr>
            </w:pPr>
          </w:p>
          <w:p>
            <w:pPr>
              <w:pStyle w:val="9"/>
              <w:spacing w:before="200"/>
              <w:ind w:left="149"/>
              <w:rPr>
                <w:rFonts w:ascii="Arial"/>
                <w:sz w:val="24"/>
              </w:rPr>
            </w:pPr>
            <w:r>
              <w:rPr>
                <w:rFonts w:ascii="Arial"/>
                <w:sz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833" w:hRule="atLeast"/>
        </w:trPr>
        <w:tc>
          <w:tcPr>
            <w:tcW w:w="394" w:type="dxa"/>
            <w:vMerge w:val="continue"/>
            <w:tcBorders>
              <w:top w:val="nil"/>
              <w:bottom w:val="single" w:color="000000" w:sz="4" w:space="0"/>
              <w:right w:val="single" w:color="000000" w:sz="4" w:space="0"/>
            </w:tcBorders>
          </w:tcPr>
          <w:p>
            <w:pPr>
              <w:rPr>
                <w:sz w:val="2"/>
                <w:szCs w:val="2"/>
              </w:rPr>
            </w:pPr>
          </w:p>
        </w:tc>
        <w:tc>
          <w:tcPr>
            <w:tcW w:w="1095" w:type="dxa"/>
            <w:tcBorders>
              <w:top w:val="single" w:color="000000" w:sz="4" w:space="0"/>
              <w:left w:val="single" w:color="000000" w:sz="4" w:space="0"/>
              <w:bottom w:val="dotted" w:color="000000" w:sz="4" w:space="0"/>
              <w:right w:val="single" w:color="000000" w:sz="4" w:space="0"/>
            </w:tcBorders>
          </w:tcPr>
          <w:p>
            <w:pPr>
              <w:pStyle w:val="9"/>
              <w:rPr>
                <w:b/>
                <w:sz w:val="26"/>
              </w:rPr>
            </w:pPr>
          </w:p>
          <w:p>
            <w:pPr>
              <w:pStyle w:val="9"/>
              <w:spacing w:before="151"/>
              <w:ind w:left="148"/>
              <w:rPr>
                <w:sz w:val="24"/>
              </w:rPr>
            </w:pPr>
            <w:r>
              <w:rPr>
                <w:sz w:val="24"/>
              </w:rPr>
              <w:t>Weeks 2</w:t>
            </w:r>
          </w:p>
        </w:tc>
        <w:tc>
          <w:tcPr>
            <w:tcW w:w="4374" w:type="dxa"/>
            <w:tcBorders>
              <w:top w:val="single" w:color="000000" w:sz="4" w:space="0"/>
              <w:left w:val="single" w:color="000000" w:sz="4" w:space="0"/>
              <w:bottom w:val="dotted" w:color="000000" w:sz="4" w:space="0"/>
              <w:right w:val="single" w:color="000000" w:sz="4" w:space="0"/>
            </w:tcBorders>
          </w:tcPr>
          <w:p>
            <w:pPr>
              <w:pStyle w:val="9"/>
              <w:spacing w:line="270" w:lineRule="exact"/>
              <w:ind w:left="113"/>
              <w:rPr>
                <w:sz w:val="24"/>
              </w:rPr>
            </w:pPr>
            <w:r>
              <w:rPr>
                <w:sz w:val="24"/>
              </w:rPr>
              <w:t>UNIT -1</w:t>
            </w:r>
          </w:p>
          <w:p>
            <w:pPr>
              <w:pStyle w:val="9"/>
              <w:spacing w:before="9"/>
              <w:rPr>
                <w:b/>
                <w:sz w:val="27"/>
              </w:rPr>
            </w:pPr>
          </w:p>
          <w:p>
            <w:pPr>
              <w:pStyle w:val="9"/>
              <w:tabs>
                <w:tab w:val="left" w:pos="4037"/>
              </w:tabs>
              <w:spacing w:line="259" w:lineRule="auto"/>
              <w:ind w:left="113" w:right="-29"/>
              <w:rPr>
                <w:sz w:val="24"/>
              </w:rPr>
            </w:pPr>
            <w:r>
              <w:rPr>
                <w:sz w:val="24"/>
              </w:rPr>
              <w:t xml:space="preserve">Functions   of </w:t>
            </w:r>
            <w:r>
              <w:rPr>
                <w:spacing w:val="16"/>
                <w:sz w:val="24"/>
              </w:rPr>
              <w:t xml:space="preserve"> </w:t>
            </w:r>
            <w:r>
              <w:rPr>
                <w:sz w:val="24"/>
              </w:rPr>
              <w:t xml:space="preserve">Financial </w:t>
            </w:r>
            <w:r>
              <w:rPr>
                <w:spacing w:val="41"/>
                <w:sz w:val="24"/>
              </w:rPr>
              <w:t xml:space="preserve"> </w:t>
            </w:r>
            <w:r>
              <w:rPr>
                <w:sz w:val="24"/>
              </w:rPr>
              <w:t>Institutions</w:t>
            </w:r>
            <w:r>
              <w:rPr>
                <w:sz w:val="24"/>
              </w:rPr>
              <w:tab/>
            </w:r>
            <w:r>
              <w:rPr>
                <w:sz w:val="24"/>
              </w:rPr>
              <w:t>and Objectives of the Financial</w:t>
            </w:r>
            <w:r>
              <w:rPr>
                <w:spacing w:val="-1"/>
                <w:sz w:val="24"/>
              </w:rPr>
              <w:t xml:space="preserve"> </w:t>
            </w:r>
            <w:r>
              <w:rPr>
                <w:sz w:val="24"/>
              </w:rPr>
              <w:t>System</w:t>
            </w:r>
          </w:p>
        </w:tc>
        <w:tc>
          <w:tcPr>
            <w:tcW w:w="1340" w:type="dxa"/>
            <w:tcBorders>
              <w:top w:val="single" w:color="000000" w:sz="4" w:space="0"/>
              <w:left w:val="single" w:color="000000" w:sz="4" w:space="0"/>
              <w:bottom w:val="dotted" w:color="000000" w:sz="4" w:space="0"/>
              <w:right w:val="single" w:color="000000" w:sz="4" w:space="0"/>
            </w:tcBorders>
          </w:tcPr>
          <w:p>
            <w:pPr>
              <w:pStyle w:val="9"/>
              <w:spacing w:line="264" w:lineRule="exact"/>
              <w:ind w:left="149"/>
              <w:rPr>
                <w:rFonts w:ascii="Arial"/>
                <w:sz w:val="24"/>
              </w:rPr>
            </w:pPr>
            <w:r>
              <w:rPr>
                <w:rFonts w:ascii="Arial"/>
                <w:sz w:val="24"/>
              </w:rPr>
              <w:t>CO1</w:t>
            </w:r>
          </w:p>
        </w:tc>
        <w:tc>
          <w:tcPr>
            <w:tcW w:w="2650" w:type="dxa"/>
            <w:tcBorders>
              <w:top w:val="single" w:color="000000" w:sz="4" w:space="0"/>
              <w:left w:val="single" w:color="000000" w:sz="4" w:space="0"/>
              <w:bottom w:val="dotted" w:color="000000" w:sz="4" w:space="0"/>
            </w:tcBorders>
          </w:tcPr>
          <w:p>
            <w:pPr>
              <w:pStyle w:val="9"/>
              <w:rPr>
                <w:b/>
                <w:sz w:val="26"/>
              </w:rPr>
            </w:pPr>
          </w:p>
          <w:p>
            <w:pPr>
              <w:pStyle w:val="9"/>
              <w:spacing w:before="159"/>
              <w:ind w:left="149"/>
              <w:rPr>
                <w:rFonts w:ascii="Arial"/>
                <w:sz w:val="24"/>
              </w:rPr>
            </w:pPr>
            <w:r>
              <w:rPr>
                <w:rFonts w:ascii="Arial"/>
                <w:sz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996" w:hRule="atLeast"/>
        </w:trPr>
        <w:tc>
          <w:tcPr>
            <w:tcW w:w="394" w:type="dxa"/>
            <w:vMerge w:val="continue"/>
            <w:tcBorders>
              <w:top w:val="nil"/>
              <w:bottom w:val="single" w:color="000000" w:sz="4" w:space="0"/>
              <w:right w:val="single" w:color="000000" w:sz="4" w:space="0"/>
            </w:tcBorders>
          </w:tcPr>
          <w:p>
            <w:pPr>
              <w:rPr>
                <w:sz w:val="2"/>
                <w:szCs w:val="2"/>
              </w:rPr>
            </w:pPr>
          </w:p>
        </w:tc>
        <w:tc>
          <w:tcPr>
            <w:tcW w:w="1095" w:type="dxa"/>
            <w:tcBorders>
              <w:top w:val="dotted" w:color="000000" w:sz="4" w:space="0"/>
              <w:left w:val="single" w:color="000000" w:sz="4" w:space="0"/>
              <w:bottom w:val="dotted" w:color="000000" w:sz="4" w:space="0"/>
              <w:right w:val="single" w:color="000000" w:sz="4" w:space="0"/>
            </w:tcBorders>
            <w:shd w:val="clear" w:color="auto" w:fill="C5D9EF"/>
          </w:tcPr>
          <w:p>
            <w:pPr>
              <w:pStyle w:val="9"/>
              <w:spacing w:before="150"/>
              <w:ind w:left="148"/>
              <w:rPr>
                <w:sz w:val="24"/>
              </w:rPr>
            </w:pPr>
            <w:r>
              <w:rPr>
                <w:sz w:val="24"/>
              </w:rPr>
              <w:t>Week 3</w:t>
            </w:r>
          </w:p>
        </w:tc>
        <w:tc>
          <w:tcPr>
            <w:tcW w:w="4374" w:type="dxa"/>
            <w:tcBorders>
              <w:top w:val="dotted" w:color="000000" w:sz="4" w:space="0"/>
              <w:left w:val="single" w:color="000000" w:sz="4" w:space="0"/>
              <w:bottom w:val="dotted" w:color="000000" w:sz="4" w:space="0"/>
              <w:right w:val="single" w:color="000000" w:sz="4" w:space="0"/>
            </w:tcBorders>
            <w:shd w:val="clear" w:color="auto" w:fill="C5D9EF"/>
          </w:tcPr>
          <w:p>
            <w:pPr>
              <w:pStyle w:val="9"/>
              <w:spacing w:line="274" w:lineRule="exact"/>
              <w:ind w:left="89"/>
              <w:rPr>
                <w:rFonts w:ascii="Arial"/>
                <w:sz w:val="24"/>
              </w:rPr>
            </w:pPr>
            <w:r>
              <w:rPr>
                <w:rFonts w:ascii="Arial"/>
                <w:sz w:val="24"/>
              </w:rPr>
              <w:t>UNIT- 2</w:t>
            </w:r>
          </w:p>
          <w:p>
            <w:pPr>
              <w:pStyle w:val="9"/>
              <w:spacing w:before="1"/>
              <w:ind w:left="22"/>
              <w:rPr>
                <w:b/>
                <w:sz w:val="24"/>
              </w:rPr>
            </w:pPr>
            <w:r>
              <w:rPr>
                <w:b/>
                <w:sz w:val="24"/>
              </w:rPr>
              <w:t>Financial Institutions :</w:t>
            </w:r>
          </w:p>
          <w:p>
            <w:pPr>
              <w:pStyle w:val="9"/>
              <w:spacing w:before="175"/>
              <w:ind w:left="149"/>
              <w:rPr>
                <w:sz w:val="24"/>
              </w:rPr>
            </w:pPr>
            <w:r>
              <w:rPr>
                <w:sz w:val="24"/>
              </w:rPr>
              <w:t>Reserve Bank of India , Commercial Banks</w:t>
            </w:r>
          </w:p>
          <w:p>
            <w:pPr>
              <w:pStyle w:val="9"/>
              <w:spacing w:before="22"/>
              <w:ind w:left="149"/>
              <w:rPr>
                <w:sz w:val="24"/>
              </w:rPr>
            </w:pPr>
            <w:r>
              <w:rPr>
                <w:sz w:val="24"/>
              </w:rPr>
              <w:t>, Non Banking Finance Companies</w:t>
            </w:r>
            <w:r>
              <w:rPr>
                <w:spacing w:val="56"/>
                <w:sz w:val="24"/>
              </w:rPr>
              <w:t xml:space="preserve"> </w:t>
            </w:r>
            <w:r>
              <w:rPr>
                <w:sz w:val="24"/>
              </w:rPr>
              <w:t>,</w:t>
            </w:r>
          </w:p>
        </w:tc>
        <w:tc>
          <w:tcPr>
            <w:tcW w:w="1340" w:type="dxa"/>
            <w:tcBorders>
              <w:top w:val="dotted" w:color="000000" w:sz="4" w:space="0"/>
              <w:left w:val="single" w:color="000000" w:sz="4" w:space="0"/>
              <w:bottom w:val="dotted" w:color="000000" w:sz="4" w:space="0"/>
              <w:right w:val="single" w:color="000000" w:sz="4" w:space="0"/>
            </w:tcBorders>
            <w:shd w:val="clear" w:color="auto" w:fill="C5D9EF"/>
          </w:tcPr>
          <w:p>
            <w:pPr>
              <w:pStyle w:val="9"/>
              <w:spacing w:line="274" w:lineRule="exact"/>
              <w:ind w:left="149"/>
              <w:rPr>
                <w:rFonts w:ascii="Arial"/>
                <w:sz w:val="24"/>
              </w:rPr>
            </w:pPr>
            <w:r>
              <w:rPr>
                <w:rFonts w:ascii="Arial"/>
                <w:sz w:val="24"/>
              </w:rPr>
              <w:t>C03</w:t>
            </w:r>
          </w:p>
        </w:tc>
        <w:tc>
          <w:tcPr>
            <w:tcW w:w="2650" w:type="dxa"/>
            <w:tcBorders>
              <w:top w:val="dotted" w:color="000000" w:sz="4" w:space="0"/>
              <w:left w:val="single" w:color="000000" w:sz="4" w:space="0"/>
              <w:bottom w:val="dotted" w:color="000000" w:sz="4" w:space="0"/>
            </w:tcBorders>
            <w:shd w:val="clear" w:color="auto" w:fill="C5D9EF"/>
          </w:tcPr>
          <w:p>
            <w:pPr>
              <w:pStyle w:val="9"/>
              <w:spacing w:before="158"/>
              <w:ind w:left="149"/>
              <w:rPr>
                <w:rFonts w:ascii="Arial"/>
                <w:sz w:val="24"/>
              </w:rPr>
            </w:pPr>
            <w:r>
              <w:rPr>
                <w:rFonts w:ascii="Arial"/>
                <w:sz w:val="24"/>
              </w:rPr>
              <w:t>Lecture</w:t>
            </w:r>
          </w:p>
          <w:p>
            <w:pPr>
              <w:pStyle w:val="9"/>
              <w:rPr>
                <w:b/>
                <w:sz w:val="26"/>
              </w:rPr>
            </w:pPr>
          </w:p>
          <w:p>
            <w:pPr>
              <w:pStyle w:val="9"/>
              <w:rPr>
                <w:b/>
                <w:sz w:val="26"/>
              </w:rPr>
            </w:pPr>
          </w:p>
          <w:p>
            <w:pPr>
              <w:pStyle w:val="9"/>
              <w:rPr>
                <w:b/>
                <w:sz w:val="26"/>
              </w:rPr>
            </w:pPr>
          </w:p>
          <w:p>
            <w:pPr>
              <w:pStyle w:val="9"/>
              <w:spacing w:before="203"/>
              <w:ind w:left="149"/>
              <w:rPr>
                <w:rFonts w:ascii="Arial"/>
                <w:sz w:val="24"/>
              </w:rPr>
            </w:pPr>
            <w:r>
              <w:rPr>
                <w:rFonts w:ascii="Arial"/>
                <w:sz w:val="24"/>
              </w:rPr>
              <w:t>Assignment No: 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PrEx>
        <w:trPr>
          <w:trHeight w:val="2244" w:hRule="atLeast"/>
        </w:trPr>
        <w:tc>
          <w:tcPr>
            <w:tcW w:w="394" w:type="dxa"/>
            <w:vMerge w:val="continue"/>
            <w:tcBorders>
              <w:top w:val="nil"/>
              <w:bottom w:val="single" w:color="000000" w:sz="4" w:space="0"/>
              <w:right w:val="single" w:color="000000" w:sz="4" w:space="0"/>
            </w:tcBorders>
          </w:tcPr>
          <w:p>
            <w:pPr>
              <w:rPr>
                <w:sz w:val="2"/>
                <w:szCs w:val="2"/>
              </w:rPr>
            </w:pPr>
          </w:p>
        </w:tc>
        <w:tc>
          <w:tcPr>
            <w:tcW w:w="1095" w:type="dxa"/>
            <w:tcBorders>
              <w:top w:val="dotted" w:color="000000" w:sz="4" w:space="0"/>
              <w:left w:val="single" w:color="000000" w:sz="4" w:space="0"/>
              <w:bottom w:val="single" w:color="000000" w:sz="4" w:space="0"/>
              <w:right w:val="single" w:color="000000" w:sz="4" w:space="0"/>
            </w:tcBorders>
          </w:tcPr>
          <w:p>
            <w:pPr>
              <w:pStyle w:val="9"/>
              <w:rPr>
                <w:b/>
                <w:sz w:val="26"/>
              </w:rPr>
            </w:pPr>
          </w:p>
          <w:p>
            <w:pPr>
              <w:pStyle w:val="9"/>
              <w:spacing w:before="10"/>
              <w:rPr>
                <w:b/>
                <w:sz w:val="24"/>
              </w:rPr>
            </w:pPr>
          </w:p>
          <w:p>
            <w:pPr>
              <w:pStyle w:val="9"/>
              <w:ind w:left="148"/>
              <w:rPr>
                <w:sz w:val="24"/>
              </w:rPr>
            </w:pPr>
            <w:r>
              <w:rPr>
                <w:sz w:val="24"/>
              </w:rPr>
              <w:t>Week 4</w:t>
            </w:r>
          </w:p>
        </w:tc>
        <w:tc>
          <w:tcPr>
            <w:tcW w:w="4374" w:type="dxa"/>
            <w:tcBorders>
              <w:top w:val="dotted" w:color="000000" w:sz="4" w:space="0"/>
              <w:left w:val="single" w:color="000000" w:sz="4" w:space="0"/>
              <w:bottom w:val="single" w:color="000000" w:sz="4" w:space="0"/>
              <w:right w:val="single" w:color="000000" w:sz="4" w:space="0"/>
            </w:tcBorders>
          </w:tcPr>
          <w:p>
            <w:pPr>
              <w:pStyle w:val="9"/>
              <w:spacing w:line="274" w:lineRule="exact"/>
              <w:ind w:left="22"/>
              <w:jc w:val="both"/>
              <w:rPr>
                <w:rFonts w:ascii="Arial"/>
                <w:sz w:val="24"/>
              </w:rPr>
            </w:pPr>
            <w:r>
              <w:rPr>
                <w:rFonts w:ascii="Arial"/>
                <w:sz w:val="24"/>
              </w:rPr>
              <w:t>UNIT- 2</w:t>
            </w:r>
          </w:p>
          <w:p>
            <w:pPr>
              <w:pStyle w:val="9"/>
              <w:spacing w:before="1"/>
              <w:ind w:left="22"/>
              <w:jc w:val="both"/>
              <w:rPr>
                <w:b/>
                <w:sz w:val="24"/>
              </w:rPr>
            </w:pPr>
            <w:r>
              <w:rPr>
                <w:b/>
                <w:sz w:val="24"/>
              </w:rPr>
              <w:t>Financial Institutions :</w:t>
            </w:r>
          </w:p>
          <w:p>
            <w:pPr>
              <w:pStyle w:val="9"/>
              <w:spacing w:before="6"/>
              <w:rPr>
                <w:b/>
                <w:sz w:val="25"/>
              </w:rPr>
            </w:pPr>
          </w:p>
          <w:p>
            <w:pPr>
              <w:pStyle w:val="9"/>
              <w:spacing w:line="259" w:lineRule="auto"/>
              <w:ind w:left="22" w:right="-29"/>
              <w:jc w:val="both"/>
              <w:rPr>
                <w:sz w:val="24"/>
              </w:rPr>
            </w:pPr>
            <w:r>
              <w:rPr>
                <w:sz w:val="24"/>
              </w:rPr>
              <w:t>Development Financial Institutions , Insurance Companies - Life Insurance and General Insurance and Merchant Banking .</w:t>
            </w:r>
          </w:p>
        </w:tc>
        <w:tc>
          <w:tcPr>
            <w:tcW w:w="1340" w:type="dxa"/>
            <w:tcBorders>
              <w:top w:val="dotted" w:color="000000" w:sz="4" w:space="0"/>
              <w:left w:val="single" w:color="000000" w:sz="4" w:space="0"/>
              <w:bottom w:val="single" w:color="000000" w:sz="4" w:space="0"/>
              <w:right w:val="single" w:color="000000" w:sz="4" w:space="0"/>
            </w:tcBorders>
          </w:tcPr>
          <w:p>
            <w:pPr>
              <w:pStyle w:val="9"/>
              <w:spacing w:line="274" w:lineRule="exact"/>
              <w:ind w:left="149"/>
              <w:rPr>
                <w:rFonts w:ascii="Arial"/>
                <w:sz w:val="24"/>
              </w:rPr>
            </w:pPr>
            <w:r>
              <w:rPr>
                <w:rFonts w:ascii="Arial"/>
                <w:sz w:val="24"/>
              </w:rPr>
              <w:t>C03</w:t>
            </w:r>
          </w:p>
        </w:tc>
        <w:tc>
          <w:tcPr>
            <w:tcW w:w="2650" w:type="dxa"/>
            <w:tcBorders>
              <w:top w:val="dotted" w:color="000000" w:sz="4" w:space="0"/>
              <w:left w:val="single" w:color="000000" w:sz="4" w:space="0"/>
              <w:bottom w:val="single" w:color="000000" w:sz="4" w:space="0"/>
            </w:tcBorders>
          </w:tcPr>
          <w:p>
            <w:pPr>
              <w:pStyle w:val="9"/>
              <w:spacing w:before="159"/>
              <w:ind w:left="149"/>
              <w:rPr>
                <w:rFonts w:ascii="Arial"/>
                <w:sz w:val="24"/>
              </w:rPr>
            </w:pPr>
            <w:r>
              <w:rPr>
                <w:rFonts w:ascii="Arial"/>
                <w:sz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918" w:hRule="atLeast"/>
        </w:trPr>
        <w:tc>
          <w:tcPr>
            <w:tcW w:w="394" w:type="dxa"/>
            <w:vMerge w:val="continue"/>
            <w:tcBorders>
              <w:top w:val="nil"/>
              <w:bottom w:val="single" w:color="000000" w:sz="4" w:space="0"/>
              <w:right w:val="single" w:color="000000" w:sz="4" w:space="0"/>
            </w:tcBorders>
          </w:tcPr>
          <w:p>
            <w:pPr>
              <w:rPr>
                <w:sz w:val="2"/>
                <w:szCs w:val="2"/>
              </w:rPr>
            </w:pPr>
          </w:p>
        </w:tc>
        <w:tc>
          <w:tcPr>
            <w:tcW w:w="1095" w:type="dxa"/>
            <w:tcBorders>
              <w:top w:val="single" w:color="000000" w:sz="4" w:space="0"/>
              <w:left w:val="single" w:color="000000" w:sz="4" w:space="0"/>
              <w:bottom w:val="single" w:color="000000" w:sz="4" w:space="0"/>
              <w:right w:val="single" w:color="000000" w:sz="4" w:space="0"/>
            </w:tcBorders>
            <w:shd w:val="clear" w:color="auto" w:fill="C5D9EF"/>
          </w:tcPr>
          <w:p>
            <w:pPr>
              <w:pStyle w:val="9"/>
              <w:rPr>
                <w:b/>
                <w:sz w:val="26"/>
              </w:rPr>
            </w:pPr>
          </w:p>
          <w:p>
            <w:pPr>
              <w:pStyle w:val="9"/>
              <w:spacing w:before="151"/>
              <w:ind w:left="148"/>
              <w:rPr>
                <w:sz w:val="24"/>
              </w:rPr>
            </w:pPr>
            <w:r>
              <w:rPr>
                <w:sz w:val="24"/>
              </w:rPr>
              <w:t>Week 5</w:t>
            </w:r>
          </w:p>
        </w:tc>
        <w:tc>
          <w:tcPr>
            <w:tcW w:w="4374" w:type="dxa"/>
            <w:tcBorders>
              <w:top w:val="single" w:color="000000" w:sz="4" w:space="0"/>
              <w:left w:val="single" w:color="000000" w:sz="4" w:space="0"/>
              <w:bottom w:val="single" w:color="000000" w:sz="4" w:space="0"/>
              <w:right w:val="single" w:color="000000" w:sz="4" w:space="0"/>
            </w:tcBorders>
            <w:shd w:val="clear" w:color="auto" w:fill="C5D9EF"/>
          </w:tcPr>
          <w:p>
            <w:pPr>
              <w:pStyle w:val="9"/>
              <w:spacing w:line="275" w:lineRule="exact"/>
              <w:ind w:left="22"/>
              <w:rPr>
                <w:b/>
                <w:sz w:val="24"/>
              </w:rPr>
            </w:pPr>
            <w:r>
              <w:rPr>
                <w:b/>
                <w:sz w:val="24"/>
              </w:rPr>
              <w:t>UNIT-III</w:t>
            </w:r>
          </w:p>
          <w:p>
            <w:pPr>
              <w:pStyle w:val="9"/>
              <w:spacing w:before="8"/>
              <w:rPr>
                <w:b/>
                <w:sz w:val="27"/>
              </w:rPr>
            </w:pPr>
          </w:p>
          <w:p>
            <w:pPr>
              <w:pStyle w:val="9"/>
              <w:ind w:left="22"/>
              <w:rPr>
                <w:b/>
                <w:sz w:val="24"/>
              </w:rPr>
            </w:pPr>
            <w:r>
              <w:rPr>
                <w:b/>
                <w:sz w:val="24"/>
              </w:rPr>
              <w:t>(a)Capital Markets:</w:t>
            </w:r>
          </w:p>
        </w:tc>
        <w:tc>
          <w:tcPr>
            <w:tcW w:w="1340" w:type="dxa"/>
            <w:tcBorders>
              <w:top w:val="single" w:color="000000" w:sz="4" w:space="0"/>
              <w:left w:val="single" w:color="000000" w:sz="4" w:space="0"/>
              <w:bottom w:val="single" w:color="000000" w:sz="4" w:space="0"/>
              <w:right w:val="single" w:color="000000" w:sz="4" w:space="0"/>
            </w:tcBorders>
            <w:shd w:val="clear" w:color="auto" w:fill="C5D9EF"/>
          </w:tcPr>
          <w:p>
            <w:pPr>
              <w:pStyle w:val="9"/>
              <w:spacing w:line="274" w:lineRule="exact"/>
              <w:ind w:left="216"/>
              <w:rPr>
                <w:rFonts w:ascii="Arial"/>
                <w:sz w:val="24"/>
              </w:rPr>
            </w:pPr>
            <w:r>
              <w:rPr>
                <w:rFonts w:ascii="Arial"/>
                <w:sz w:val="24"/>
              </w:rPr>
              <w:t>CO3</w:t>
            </w:r>
          </w:p>
        </w:tc>
        <w:tc>
          <w:tcPr>
            <w:tcW w:w="2650" w:type="dxa"/>
            <w:tcBorders>
              <w:top w:val="single" w:color="000000" w:sz="4" w:space="0"/>
              <w:left w:val="single" w:color="000000" w:sz="4" w:space="0"/>
              <w:bottom w:val="single" w:color="000000" w:sz="4" w:space="0"/>
            </w:tcBorders>
            <w:shd w:val="clear" w:color="auto" w:fill="C5D9EF"/>
          </w:tcPr>
          <w:p>
            <w:pPr>
              <w:pStyle w:val="9"/>
              <w:rPr>
                <w:b/>
                <w:sz w:val="26"/>
              </w:rPr>
            </w:pPr>
          </w:p>
          <w:p>
            <w:pPr>
              <w:pStyle w:val="9"/>
              <w:spacing w:before="159"/>
              <w:ind w:left="149"/>
              <w:rPr>
                <w:rFonts w:ascii="Arial"/>
                <w:sz w:val="24"/>
              </w:rPr>
            </w:pPr>
            <w:r>
              <w:rPr>
                <w:rFonts w:ascii="Arial"/>
                <w:sz w:val="24"/>
              </w:rPr>
              <w:t>Lecture</w:t>
            </w:r>
          </w:p>
        </w:tc>
      </w:tr>
    </w:tbl>
    <w:p>
      <w:pPr>
        <w:spacing w:after="0"/>
        <w:rPr>
          <w:rFonts w:ascii="Arial"/>
          <w:sz w:val="24"/>
        </w:rPr>
        <w:sectPr>
          <w:pgSz w:w="11900" w:h="16850"/>
          <w:pgMar w:top="1060" w:right="600" w:bottom="1620" w:left="1020" w:header="284" w:footer="1149" w:gutter="0"/>
          <w:cols w:space="720" w:num="1"/>
        </w:sectPr>
      </w:pPr>
    </w:p>
    <w:p>
      <w:pPr>
        <w:pStyle w:val="6"/>
        <w:rPr>
          <w:rFonts w:ascii="Times New Roman"/>
          <w:b/>
          <w:sz w:val="7"/>
        </w:rPr>
      </w:pPr>
    </w:p>
    <w:tbl>
      <w:tblPr>
        <w:tblStyle w:val="5"/>
        <w:tblW w:w="9853" w:type="dxa"/>
        <w:tblInd w:w="30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94"/>
        <w:gridCol w:w="1095"/>
        <w:gridCol w:w="4374"/>
        <w:gridCol w:w="1340"/>
        <w:gridCol w:w="265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692" w:hRule="atLeast"/>
        </w:trPr>
        <w:tc>
          <w:tcPr>
            <w:tcW w:w="394" w:type="dxa"/>
            <w:tcBorders>
              <w:top w:val="nil"/>
              <w:bottom w:val="single" w:color="000000" w:sz="4" w:space="0"/>
              <w:right w:val="single" w:color="000000" w:sz="4" w:space="0"/>
            </w:tcBorders>
          </w:tcPr>
          <w:p>
            <w:pPr>
              <w:pStyle w:val="9"/>
              <w:rPr>
                <w:sz w:val="22"/>
              </w:rPr>
            </w:pPr>
          </w:p>
        </w:tc>
        <w:tc>
          <w:tcPr>
            <w:tcW w:w="1095" w:type="dxa"/>
            <w:tcBorders>
              <w:top w:val="single" w:color="000000" w:sz="4" w:space="0"/>
              <w:left w:val="single" w:color="000000" w:sz="4" w:space="0"/>
              <w:bottom w:val="dotted" w:color="000000" w:sz="4" w:space="0"/>
              <w:right w:val="single" w:color="000000" w:sz="4" w:space="0"/>
            </w:tcBorders>
            <w:shd w:val="clear" w:color="auto" w:fill="C5D9EF"/>
          </w:tcPr>
          <w:p>
            <w:pPr>
              <w:pStyle w:val="9"/>
              <w:rPr>
                <w:sz w:val="22"/>
              </w:rPr>
            </w:pPr>
          </w:p>
        </w:tc>
        <w:tc>
          <w:tcPr>
            <w:tcW w:w="4374" w:type="dxa"/>
            <w:tcBorders>
              <w:top w:val="single" w:color="000000" w:sz="4" w:space="0"/>
              <w:left w:val="single" w:color="000000" w:sz="4" w:space="0"/>
              <w:bottom w:val="single" w:color="000000" w:sz="4" w:space="0"/>
              <w:right w:val="single" w:color="000000" w:sz="4" w:space="0"/>
            </w:tcBorders>
            <w:shd w:val="clear" w:color="auto" w:fill="C5D9EF"/>
          </w:tcPr>
          <w:p>
            <w:pPr>
              <w:pStyle w:val="9"/>
              <w:spacing w:line="259" w:lineRule="auto"/>
              <w:ind w:left="22" w:right="-29"/>
              <w:jc w:val="both"/>
              <w:rPr>
                <w:sz w:val="24"/>
              </w:rPr>
            </w:pPr>
            <w:r>
              <w:rPr>
                <w:sz w:val="24"/>
              </w:rPr>
              <w:t xml:space="preserve">I. </w:t>
            </w:r>
            <w:r>
              <w:rPr>
                <w:b/>
                <w:sz w:val="24"/>
              </w:rPr>
              <w:t>Primary Market</w:t>
            </w:r>
            <w:r>
              <w:rPr>
                <w:sz w:val="24"/>
              </w:rPr>
              <w:t>s: Meaning, instruments, Modes of procuring long term funds: Public issue, Rights issue, Bonus issue, Private placement.</w:t>
            </w:r>
          </w:p>
        </w:tc>
        <w:tc>
          <w:tcPr>
            <w:tcW w:w="1340" w:type="dxa"/>
            <w:tcBorders>
              <w:top w:val="single" w:color="000000" w:sz="4" w:space="0"/>
              <w:left w:val="single" w:color="000000" w:sz="4" w:space="0"/>
              <w:bottom w:val="single" w:color="000000" w:sz="4" w:space="0"/>
              <w:right w:val="single" w:color="000000" w:sz="4" w:space="0"/>
            </w:tcBorders>
            <w:shd w:val="clear" w:color="auto" w:fill="C5D9EF"/>
          </w:tcPr>
          <w:p>
            <w:pPr>
              <w:pStyle w:val="9"/>
              <w:rPr>
                <w:sz w:val="22"/>
              </w:rPr>
            </w:pPr>
          </w:p>
        </w:tc>
        <w:tc>
          <w:tcPr>
            <w:tcW w:w="2650" w:type="dxa"/>
            <w:tcBorders>
              <w:top w:val="single" w:color="000000" w:sz="4" w:space="0"/>
              <w:left w:val="single" w:color="000000" w:sz="4" w:space="0"/>
              <w:bottom w:val="single" w:color="000000" w:sz="4" w:space="0"/>
            </w:tcBorders>
            <w:shd w:val="clear" w:color="auto" w:fill="C5D9EF"/>
          </w:tcPr>
          <w:p>
            <w:pPr>
              <w:pStyle w:val="9"/>
              <w:rPr>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656" w:hRule="atLeast"/>
        </w:trPr>
        <w:tc>
          <w:tcPr>
            <w:tcW w:w="394" w:type="dxa"/>
            <w:vMerge w:val="restart"/>
            <w:tcBorders>
              <w:top w:val="single" w:color="000000" w:sz="4" w:space="0"/>
              <w:bottom w:val="single" w:color="000000" w:sz="4" w:space="0"/>
              <w:right w:val="single" w:color="000000" w:sz="4" w:space="0"/>
            </w:tcBorders>
          </w:tcPr>
          <w:p>
            <w:pPr>
              <w:pStyle w:val="9"/>
              <w:rPr>
                <w:sz w:val="22"/>
              </w:rPr>
            </w:pPr>
          </w:p>
        </w:tc>
        <w:tc>
          <w:tcPr>
            <w:tcW w:w="1095" w:type="dxa"/>
            <w:tcBorders>
              <w:top w:val="dotted" w:color="000000" w:sz="4" w:space="0"/>
              <w:left w:val="single" w:color="000000" w:sz="4" w:space="0"/>
              <w:bottom w:val="single" w:color="000000" w:sz="4" w:space="0"/>
              <w:right w:val="single" w:color="000000" w:sz="4" w:space="0"/>
            </w:tcBorders>
          </w:tcPr>
          <w:p>
            <w:pPr>
              <w:pStyle w:val="9"/>
              <w:rPr>
                <w:b/>
                <w:sz w:val="26"/>
              </w:rPr>
            </w:pPr>
          </w:p>
          <w:p>
            <w:pPr>
              <w:pStyle w:val="9"/>
              <w:spacing w:before="151"/>
              <w:ind w:left="148"/>
              <w:rPr>
                <w:sz w:val="24"/>
              </w:rPr>
            </w:pPr>
            <w:r>
              <w:rPr>
                <w:sz w:val="24"/>
              </w:rPr>
              <w:t>Week 6</w:t>
            </w:r>
          </w:p>
        </w:tc>
        <w:tc>
          <w:tcPr>
            <w:tcW w:w="4374" w:type="dxa"/>
            <w:tcBorders>
              <w:top w:val="single" w:color="000000" w:sz="4" w:space="0"/>
              <w:left w:val="single" w:color="000000" w:sz="4" w:space="0"/>
              <w:bottom w:val="single" w:color="000000" w:sz="4" w:space="0"/>
              <w:right w:val="single" w:color="000000" w:sz="4" w:space="0"/>
            </w:tcBorders>
          </w:tcPr>
          <w:p>
            <w:pPr>
              <w:pStyle w:val="9"/>
              <w:spacing w:line="275" w:lineRule="exact"/>
              <w:ind w:left="22"/>
              <w:rPr>
                <w:b/>
                <w:sz w:val="24"/>
              </w:rPr>
            </w:pPr>
            <w:r>
              <w:rPr>
                <w:b/>
                <w:sz w:val="24"/>
              </w:rPr>
              <w:t>UNIT-III</w:t>
            </w:r>
          </w:p>
          <w:p>
            <w:pPr>
              <w:pStyle w:val="9"/>
              <w:spacing w:before="8"/>
              <w:rPr>
                <w:b/>
                <w:sz w:val="27"/>
              </w:rPr>
            </w:pPr>
          </w:p>
          <w:p>
            <w:pPr>
              <w:pStyle w:val="9"/>
              <w:ind w:left="22"/>
              <w:jc w:val="both"/>
              <w:rPr>
                <w:b/>
                <w:sz w:val="24"/>
              </w:rPr>
            </w:pPr>
            <w:r>
              <w:rPr>
                <w:b/>
                <w:sz w:val="24"/>
              </w:rPr>
              <w:t>(a)Capital Markets:</w:t>
            </w:r>
          </w:p>
          <w:p>
            <w:pPr>
              <w:pStyle w:val="9"/>
              <w:spacing w:before="17" w:line="259" w:lineRule="auto"/>
              <w:ind w:left="22" w:right="-29"/>
              <w:jc w:val="both"/>
              <w:rPr>
                <w:sz w:val="24"/>
              </w:rPr>
            </w:pPr>
            <w:r>
              <w:rPr>
                <w:sz w:val="24"/>
              </w:rPr>
              <w:t xml:space="preserve">I. </w:t>
            </w:r>
            <w:r>
              <w:rPr>
                <w:b/>
                <w:sz w:val="24"/>
              </w:rPr>
              <w:t>Primary Market</w:t>
            </w:r>
            <w:r>
              <w:rPr>
                <w:sz w:val="24"/>
              </w:rPr>
              <w:t>s: Meaning, instruments, Modes of procuring long term funds: Public issue, Rights issue, Bonus issue, Private placement.</w:t>
            </w:r>
          </w:p>
        </w:tc>
        <w:tc>
          <w:tcPr>
            <w:tcW w:w="1340" w:type="dxa"/>
            <w:tcBorders>
              <w:top w:val="single" w:color="000000" w:sz="4" w:space="0"/>
              <w:left w:val="single" w:color="000000" w:sz="4" w:space="0"/>
              <w:bottom w:val="single" w:color="000000" w:sz="4" w:space="0"/>
              <w:right w:val="single" w:color="000000" w:sz="4" w:space="0"/>
            </w:tcBorders>
          </w:tcPr>
          <w:p>
            <w:pPr>
              <w:pStyle w:val="9"/>
              <w:spacing w:line="264" w:lineRule="exact"/>
              <w:ind w:left="149"/>
              <w:rPr>
                <w:rFonts w:ascii="Arial"/>
                <w:sz w:val="24"/>
              </w:rPr>
            </w:pPr>
            <w:r>
              <w:rPr>
                <w:rFonts w:ascii="Arial"/>
                <w:sz w:val="24"/>
              </w:rPr>
              <w:t>C03</w:t>
            </w:r>
          </w:p>
        </w:tc>
        <w:tc>
          <w:tcPr>
            <w:tcW w:w="2650" w:type="dxa"/>
            <w:tcBorders>
              <w:top w:val="single" w:color="000000" w:sz="4" w:space="0"/>
              <w:left w:val="single" w:color="000000" w:sz="4" w:space="0"/>
              <w:bottom w:val="single" w:color="000000" w:sz="4" w:space="0"/>
            </w:tcBorders>
          </w:tcPr>
          <w:p>
            <w:pPr>
              <w:pStyle w:val="9"/>
              <w:rPr>
                <w:b/>
                <w:sz w:val="26"/>
              </w:rPr>
            </w:pPr>
          </w:p>
          <w:p>
            <w:pPr>
              <w:pStyle w:val="9"/>
              <w:spacing w:before="159"/>
              <w:ind w:left="149"/>
              <w:rPr>
                <w:rFonts w:ascii="Arial"/>
                <w:sz w:val="24"/>
              </w:rPr>
            </w:pPr>
            <w:r>
              <w:rPr>
                <w:rFonts w:ascii="Arial"/>
                <w:sz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948" w:hRule="atLeast"/>
        </w:trPr>
        <w:tc>
          <w:tcPr>
            <w:tcW w:w="394" w:type="dxa"/>
            <w:vMerge w:val="continue"/>
            <w:tcBorders>
              <w:top w:val="nil"/>
              <w:bottom w:val="single" w:color="000000" w:sz="4" w:space="0"/>
              <w:right w:val="single" w:color="000000" w:sz="4" w:space="0"/>
            </w:tcBorders>
          </w:tcPr>
          <w:p>
            <w:pPr>
              <w:rPr>
                <w:sz w:val="2"/>
                <w:szCs w:val="2"/>
              </w:rPr>
            </w:pPr>
          </w:p>
        </w:tc>
        <w:tc>
          <w:tcPr>
            <w:tcW w:w="1095" w:type="dxa"/>
            <w:tcBorders>
              <w:top w:val="single" w:color="000000" w:sz="4" w:space="0"/>
              <w:left w:val="single" w:color="000000" w:sz="4" w:space="0"/>
              <w:bottom w:val="dotted" w:color="000000" w:sz="4" w:space="0"/>
              <w:right w:val="single" w:color="000000" w:sz="4" w:space="0"/>
            </w:tcBorders>
            <w:shd w:val="clear" w:color="auto" w:fill="C5D9EF"/>
          </w:tcPr>
          <w:p>
            <w:pPr>
              <w:pStyle w:val="9"/>
              <w:rPr>
                <w:b/>
                <w:sz w:val="26"/>
              </w:rPr>
            </w:pPr>
          </w:p>
          <w:p>
            <w:pPr>
              <w:pStyle w:val="9"/>
              <w:spacing w:before="151"/>
              <w:ind w:left="148"/>
              <w:rPr>
                <w:sz w:val="24"/>
              </w:rPr>
            </w:pPr>
            <w:r>
              <w:rPr>
                <w:sz w:val="24"/>
              </w:rPr>
              <w:t>Week 7</w:t>
            </w:r>
          </w:p>
        </w:tc>
        <w:tc>
          <w:tcPr>
            <w:tcW w:w="4374" w:type="dxa"/>
            <w:tcBorders>
              <w:top w:val="single" w:color="000000" w:sz="4" w:space="0"/>
              <w:left w:val="single" w:color="000000" w:sz="4" w:space="0"/>
              <w:bottom w:val="dotted" w:color="000000" w:sz="4" w:space="0"/>
              <w:right w:val="single" w:color="000000" w:sz="4" w:space="0"/>
            </w:tcBorders>
            <w:shd w:val="clear" w:color="auto" w:fill="C5D9EF"/>
          </w:tcPr>
          <w:p>
            <w:pPr>
              <w:pStyle w:val="9"/>
              <w:spacing w:before="1"/>
              <w:ind w:left="22"/>
              <w:rPr>
                <w:b/>
                <w:sz w:val="24"/>
              </w:rPr>
            </w:pPr>
            <w:r>
              <w:rPr>
                <w:b/>
                <w:sz w:val="24"/>
              </w:rPr>
              <w:t>UNIT-III</w:t>
            </w:r>
          </w:p>
          <w:p>
            <w:pPr>
              <w:pStyle w:val="9"/>
              <w:spacing w:before="17" w:line="259" w:lineRule="auto"/>
              <w:ind w:left="22" w:right="-29"/>
              <w:jc w:val="both"/>
              <w:rPr>
                <w:sz w:val="24"/>
              </w:rPr>
            </w:pPr>
            <w:r>
              <w:rPr>
                <w:sz w:val="24"/>
              </w:rPr>
              <w:t xml:space="preserve">II. </w:t>
            </w:r>
            <w:r>
              <w:rPr>
                <w:b/>
                <w:sz w:val="24"/>
              </w:rPr>
              <w:t>Secondary Markets.</w:t>
            </w:r>
            <w:r>
              <w:rPr>
                <w:sz w:val="24"/>
              </w:rPr>
              <w:t>: Meaning,</w:t>
            </w:r>
            <w:r>
              <w:rPr>
                <w:spacing w:val="-39"/>
                <w:sz w:val="24"/>
              </w:rPr>
              <w:t xml:space="preserve"> </w:t>
            </w:r>
            <w:r>
              <w:rPr>
                <w:sz w:val="24"/>
              </w:rPr>
              <w:t>Functions of the stock exchange, Stock market indices, Types of dealings, types of securities traded on the Indian stock exchanges.</w:t>
            </w:r>
          </w:p>
        </w:tc>
        <w:tc>
          <w:tcPr>
            <w:tcW w:w="1340" w:type="dxa"/>
            <w:tcBorders>
              <w:top w:val="single" w:color="000000" w:sz="4" w:space="0"/>
              <w:left w:val="single" w:color="000000" w:sz="4" w:space="0"/>
              <w:bottom w:val="dotted" w:color="000000" w:sz="4" w:space="0"/>
              <w:right w:val="single" w:color="000000" w:sz="4" w:space="0"/>
            </w:tcBorders>
            <w:shd w:val="clear" w:color="auto" w:fill="C5D9EF"/>
          </w:tcPr>
          <w:p>
            <w:pPr>
              <w:pStyle w:val="9"/>
              <w:spacing w:line="267" w:lineRule="exact"/>
              <w:ind w:left="149"/>
              <w:rPr>
                <w:rFonts w:ascii="Arial"/>
                <w:sz w:val="24"/>
              </w:rPr>
            </w:pPr>
            <w:r>
              <w:rPr>
                <w:rFonts w:ascii="Arial"/>
                <w:sz w:val="24"/>
              </w:rPr>
              <w:t>C03</w:t>
            </w:r>
          </w:p>
        </w:tc>
        <w:tc>
          <w:tcPr>
            <w:tcW w:w="2650" w:type="dxa"/>
            <w:tcBorders>
              <w:top w:val="single" w:color="000000" w:sz="4" w:space="0"/>
              <w:left w:val="single" w:color="000000" w:sz="4" w:space="0"/>
              <w:bottom w:val="dotted" w:color="000000" w:sz="4" w:space="0"/>
            </w:tcBorders>
            <w:shd w:val="clear" w:color="auto" w:fill="C5D9EF"/>
          </w:tcPr>
          <w:p>
            <w:pPr>
              <w:pStyle w:val="9"/>
              <w:rPr>
                <w:b/>
                <w:sz w:val="26"/>
              </w:rPr>
            </w:pPr>
          </w:p>
          <w:p>
            <w:pPr>
              <w:pStyle w:val="9"/>
              <w:spacing w:before="159"/>
              <w:ind w:left="149"/>
              <w:rPr>
                <w:rFonts w:ascii="Arial"/>
                <w:sz w:val="24"/>
              </w:rPr>
            </w:pPr>
            <w:r>
              <w:rPr>
                <w:rFonts w:ascii="Arial"/>
                <w:sz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833" w:hRule="atLeast"/>
        </w:trPr>
        <w:tc>
          <w:tcPr>
            <w:tcW w:w="394" w:type="dxa"/>
            <w:vMerge w:val="continue"/>
            <w:tcBorders>
              <w:top w:val="nil"/>
              <w:bottom w:val="single" w:color="000000" w:sz="4" w:space="0"/>
              <w:right w:val="single" w:color="000000" w:sz="4" w:space="0"/>
            </w:tcBorders>
          </w:tcPr>
          <w:p>
            <w:pPr>
              <w:rPr>
                <w:sz w:val="2"/>
                <w:szCs w:val="2"/>
              </w:rPr>
            </w:pPr>
          </w:p>
        </w:tc>
        <w:tc>
          <w:tcPr>
            <w:tcW w:w="1095" w:type="dxa"/>
            <w:tcBorders>
              <w:top w:val="dotted" w:color="000000" w:sz="4" w:space="0"/>
              <w:left w:val="single" w:color="000000" w:sz="4" w:space="0"/>
              <w:bottom w:val="dotted" w:color="000000" w:sz="4" w:space="0"/>
              <w:right w:val="single" w:color="000000" w:sz="4" w:space="0"/>
            </w:tcBorders>
          </w:tcPr>
          <w:p>
            <w:pPr>
              <w:pStyle w:val="9"/>
              <w:spacing w:before="90"/>
              <w:ind w:left="148"/>
              <w:rPr>
                <w:sz w:val="24"/>
              </w:rPr>
            </w:pPr>
            <w:r>
              <w:rPr>
                <w:sz w:val="24"/>
              </w:rPr>
              <w:t>Week 8</w:t>
            </w:r>
          </w:p>
        </w:tc>
        <w:tc>
          <w:tcPr>
            <w:tcW w:w="4374" w:type="dxa"/>
            <w:tcBorders>
              <w:top w:val="dotted" w:color="000000" w:sz="4" w:space="0"/>
              <w:left w:val="single" w:color="000000" w:sz="4" w:space="0"/>
              <w:bottom w:val="dotted" w:color="000000" w:sz="4" w:space="0"/>
              <w:right w:val="single" w:color="000000" w:sz="4" w:space="0"/>
            </w:tcBorders>
          </w:tcPr>
          <w:p>
            <w:pPr>
              <w:pStyle w:val="9"/>
              <w:spacing w:line="275" w:lineRule="exact"/>
              <w:ind w:left="22"/>
              <w:rPr>
                <w:b/>
                <w:sz w:val="24"/>
              </w:rPr>
            </w:pPr>
            <w:r>
              <w:rPr>
                <w:b/>
                <w:sz w:val="24"/>
              </w:rPr>
              <w:t>UNIT-III</w:t>
            </w:r>
          </w:p>
          <w:p>
            <w:pPr>
              <w:pStyle w:val="9"/>
              <w:spacing w:before="17" w:line="259" w:lineRule="auto"/>
              <w:ind w:left="22" w:right="-29"/>
              <w:jc w:val="both"/>
              <w:rPr>
                <w:sz w:val="24"/>
              </w:rPr>
            </w:pPr>
            <w:r>
              <w:rPr>
                <w:sz w:val="24"/>
              </w:rPr>
              <w:t xml:space="preserve">II. </w:t>
            </w:r>
            <w:r>
              <w:rPr>
                <w:b/>
                <w:sz w:val="24"/>
              </w:rPr>
              <w:t>Secondary Markets.</w:t>
            </w:r>
            <w:r>
              <w:rPr>
                <w:sz w:val="24"/>
              </w:rPr>
              <w:t>: Meaning,</w:t>
            </w:r>
            <w:r>
              <w:rPr>
                <w:spacing w:val="-39"/>
                <w:sz w:val="24"/>
              </w:rPr>
              <w:t xml:space="preserve"> </w:t>
            </w:r>
            <w:r>
              <w:rPr>
                <w:sz w:val="24"/>
              </w:rPr>
              <w:t>Functions of the stock exchange, Stock market indices, Types of dealings, types of securities traded on the Indian stock exchanges.</w:t>
            </w:r>
          </w:p>
        </w:tc>
        <w:tc>
          <w:tcPr>
            <w:tcW w:w="1340" w:type="dxa"/>
            <w:tcBorders>
              <w:top w:val="dotted" w:color="000000" w:sz="4" w:space="0"/>
              <w:left w:val="single" w:color="000000" w:sz="4" w:space="0"/>
              <w:bottom w:val="dotted" w:color="000000" w:sz="4" w:space="0"/>
              <w:right w:val="single" w:color="000000" w:sz="4" w:space="0"/>
            </w:tcBorders>
          </w:tcPr>
          <w:p>
            <w:pPr>
              <w:pStyle w:val="9"/>
              <w:spacing w:line="267" w:lineRule="exact"/>
              <w:ind w:left="149"/>
              <w:rPr>
                <w:rFonts w:ascii="Arial"/>
                <w:sz w:val="24"/>
              </w:rPr>
            </w:pPr>
            <w:r>
              <w:rPr>
                <w:rFonts w:ascii="Arial"/>
                <w:sz w:val="24"/>
              </w:rPr>
              <w:t>CO3</w:t>
            </w:r>
          </w:p>
        </w:tc>
        <w:tc>
          <w:tcPr>
            <w:tcW w:w="2650" w:type="dxa"/>
            <w:tcBorders>
              <w:top w:val="dotted" w:color="000000" w:sz="4" w:space="0"/>
              <w:left w:val="single" w:color="000000" w:sz="4" w:space="0"/>
              <w:bottom w:val="dotted" w:color="000000" w:sz="4" w:space="0"/>
            </w:tcBorders>
          </w:tcPr>
          <w:p>
            <w:pPr>
              <w:pStyle w:val="9"/>
              <w:rPr>
                <w:b/>
                <w:sz w:val="26"/>
              </w:rPr>
            </w:pPr>
          </w:p>
          <w:p>
            <w:pPr>
              <w:pStyle w:val="9"/>
              <w:spacing w:before="159"/>
              <w:ind w:left="149"/>
              <w:rPr>
                <w:rFonts w:ascii="Arial"/>
                <w:sz w:val="24"/>
              </w:rPr>
            </w:pPr>
            <w:r>
              <w:rPr>
                <w:rFonts w:ascii="Arial"/>
                <w:sz w:val="24"/>
              </w:rPr>
              <w:t>Lecture</w:t>
            </w:r>
          </w:p>
          <w:p>
            <w:pPr>
              <w:pStyle w:val="9"/>
              <w:rPr>
                <w:b/>
                <w:sz w:val="26"/>
              </w:rPr>
            </w:pPr>
          </w:p>
          <w:p>
            <w:pPr>
              <w:pStyle w:val="9"/>
              <w:spacing w:before="7"/>
              <w:rPr>
                <w:b/>
                <w:sz w:val="29"/>
              </w:rPr>
            </w:pPr>
          </w:p>
          <w:p>
            <w:pPr>
              <w:pStyle w:val="9"/>
              <w:ind w:left="149"/>
              <w:rPr>
                <w:rFonts w:ascii="Arial"/>
                <w:sz w:val="24"/>
              </w:rPr>
            </w:pPr>
            <w:r>
              <w:rPr>
                <w:rFonts w:ascii="Arial"/>
                <w:sz w:val="24"/>
              </w:rPr>
              <w:t>Assignment No: 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PrEx>
        <w:trPr>
          <w:trHeight w:val="2243" w:hRule="atLeast"/>
        </w:trPr>
        <w:tc>
          <w:tcPr>
            <w:tcW w:w="394" w:type="dxa"/>
            <w:vMerge w:val="continue"/>
            <w:tcBorders>
              <w:top w:val="nil"/>
              <w:bottom w:val="single" w:color="000000" w:sz="4" w:space="0"/>
              <w:right w:val="single" w:color="000000" w:sz="4" w:space="0"/>
            </w:tcBorders>
          </w:tcPr>
          <w:p>
            <w:pPr>
              <w:rPr>
                <w:sz w:val="2"/>
                <w:szCs w:val="2"/>
              </w:rPr>
            </w:pPr>
          </w:p>
        </w:tc>
        <w:tc>
          <w:tcPr>
            <w:tcW w:w="1095" w:type="dxa"/>
            <w:tcBorders>
              <w:top w:val="dotted" w:color="000000" w:sz="4" w:space="0"/>
              <w:left w:val="single" w:color="000000" w:sz="4" w:space="0"/>
              <w:bottom w:val="dotted" w:color="000000" w:sz="4" w:space="0"/>
              <w:right w:val="single" w:color="000000" w:sz="4" w:space="0"/>
            </w:tcBorders>
            <w:shd w:val="clear" w:color="auto" w:fill="C5D9EF"/>
          </w:tcPr>
          <w:p>
            <w:pPr>
              <w:pStyle w:val="9"/>
              <w:spacing w:before="10"/>
              <w:rPr>
                <w:b/>
                <w:sz w:val="38"/>
              </w:rPr>
            </w:pPr>
          </w:p>
          <w:p>
            <w:pPr>
              <w:pStyle w:val="9"/>
              <w:ind w:left="148"/>
              <w:rPr>
                <w:sz w:val="24"/>
              </w:rPr>
            </w:pPr>
            <w:r>
              <w:rPr>
                <w:sz w:val="24"/>
              </w:rPr>
              <w:t>Week 9</w:t>
            </w:r>
          </w:p>
        </w:tc>
        <w:tc>
          <w:tcPr>
            <w:tcW w:w="4374" w:type="dxa"/>
            <w:tcBorders>
              <w:top w:val="dotted" w:color="000000" w:sz="4" w:space="0"/>
              <w:left w:val="single" w:color="000000" w:sz="4" w:space="0"/>
              <w:bottom w:val="dotted" w:color="000000" w:sz="4" w:space="0"/>
              <w:right w:val="single" w:color="000000" w:sz="4" w:space="0"/>
            </w:tcBorders>
            <w:shd w:val="clear" w:color="auto" w:fill="C5D9EF"/>
          </w:tcPr>
          <w:p>
            <w:pPr>
              <w:pStyle w:val="9"/>
              <w:spacing w:line="275" w:lineRule="exact"/>
              <w:ind w:left="22"/>
              <w:rPr>
                <w:b/>
                <w:sz w:val="24"/>
              </w:rPr>
            </w:pPr>
            <w:r>
              <w:rPr>
                <w:b/>
                <w:sz w:val="24"/>
              </w:rPr>
              <w:t>UNIT-III</w:t>
            </w:r>
          </w:p>
          <w:p>
            <w:pPr>
              <w:pStyle w:val="9"/>
              <w:spacing w:before="17" w:line="259" w:lineRule="auto"/>
              <w:ind w:left="22" w:right="-29"/>
              <w:jc w:val="both"/>
              <w:rPr>
                <w:sz w:val="24"/>
              </w:rPr>
            </w:pPr>
            <w:r>
              <w:rPr>
                <w:b/>
                <w:sz w:val="24"/>
              </w:rPr>
              <w:t>(b) Money Markets</w:t>
            </w:r>
            <w:r>
              <w:rPr>
                <w:sz w:val="24"/>
              </w:rPr>
              <w:t>: Meaning, Instruments: Treasury Bills, Certificate of Deposits, Commercial Paper, Call money Commercial bills, Inter-corporate deposits, Inter-bank participation certificates.</w:t>
            </w:r>
          </w:p>
        </w:tc>
        <w:tc>
          <w:tcPr>
            <w:tcW w:w="1340" w:type="dxa"/>
            <w:tcBorders>
              <w:top w:val="dotted" w:color="000000" w:sz="4" w:space="0"/>
              <w:left w:val="single" w:color="000000" w:sz="4" w:space="0"/>
              <w:bottom w:val="dotted" w:color="000000" w:sz="4" w:space="0"/>
              <w:right w:val="single" w:color="000000" w:sz="4" w:space="0"/>
            </w:tcBorders>
            <w:shd w:val="clear" w:color="auto" w:fill="C5D9EF"/>
          </w:tcPr>
          <w:p>
            <w:pPr>
              <w:pStyle w:val="9"/>
              <w:spacing w:line="264" w:lineRule="exact"/>
              <w:ind w:left="149"/>
              <w:rPr>
                <w:rFonts w:ascii="Arial"/>
                <w:sz w:val="24"/>
              </w:rPr>
            </w:pPr>
            <w:r>
              <w:rPr>
                <w:rFonts w:ascii="Arial"/>
                <w:sz w:val="24"/>
              </w:rPr>
              <w:t>CO4</w:t>
            </w:r>
          </w:p>
        </w:tc>
        <w:tc>
          <w:tcPr>
            <w:tcW w:w="2650" w:type="dxa"/>
            <w:tcBorders>
              <w:top w:val="dotted" w:color="000000" w:sz="4" w:space="0"/>
              <w:left w:val="single" w:color="000000" w:sz="4" w:space="0"/>
              <w:bottom w:val="dotted" w:color="000000" w:sz="4" w:space="0"/>
            </w:tcBorders>
            <w:shd w:val="clear" w:color="auto" w:fill="C5D9EF"/>
          </w:tcPr>
          <w:p>
            <w:pPr>
              <w:pStyle w:val="9"/>
              <w:rPr>
                <w:b/>
                <w:sz w:val="26"/>
              </w:rPr>
            </w:pPr>
          </w:p>
          <w:p>
            <w:pPr>
              <w:pStyle w:val="9"/>
              <w:spacing w:before="159"/>
              <w:ind w:left="149"/>
              <w:rPr>
                <w:rFonts w:ascii="Arial"/>
                <w:sz w:val="24"/>
              </w:rPr>
            </w:pPr>
            <w:r>
              <w:rPr>
                <w:rFonts w:ascii="Arial"/>
                <w:sz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942" w:hRule="atLeast"/>
        </w:trPr>
        <w:tc>
          <w:tcPr>
            <w:tcW w:w="394" w:type="dxa"/>
            <w:tcBorders>
              <w:top w:val="single" w:color="000000" w:sz="4" w:space="0"/>
              <w:bottom w:val="single" w:color="000000" w:sz="4" w:space="0"/>
              <w:right w:val="single" w:color="000000" w:sz="4" w:space="0"/>
            </w:tcBorders>
          </w:tcPr>
          <w:p>
            <w:pPr>
              <w:pStyle w:val="9"/>
              <w:rPr>
                <w:sz w:val="22"/>
              </w:rPr>
            </w:pPr>
          </w:p>
        </w:tc>
        <w:tc>
          <w:tcPr>
            <w:tcW w:w="1095" w:type="dxa"/>
            <w:tcBorders>
              <w:top w:val="dotted" w:color="000000" w:sz="4" w:space="0"/>
              <w:left w:val="single" w:color="000000" w:sz="4" w:space="0"/>
              <w:bottom w:val="dotted" w:color="000000" w:sz="4" w:space="0"/>
              <w:right w:val="single" w:color="000000" w:sz="4" w:space="0"/>
            </w:tcBorders>
          </w:tcPr>
          <w:p>
            <w:pPr>
              <w:pStyle w:val="9"/>
              <w:rPr>
                <w:b/>
                <w:sz w:val="26"/>
              </w:rPr>
            </w:pPr>
          </w:p>
          <w:p>
            <w:pPr>
              <w:pStyle w:val="9"/>
              <w:spacing w:before="151"/>
              <w:ind w:left="148"/>
              <w:rPr>
                <w:sz w:val="24"/>
              </w:rPr>
            </w:pPr>
            <w:r>
              <w:rPr>
                <w:sz w:val="24"/>
              </w:rPr>
              <w:t>Week 10</w:t>
            </w:r>
          </w:p>
        </w:tc>
        <w:tc>
          <w:tcPr>
            <w:tcW w:w="4374" w:type="dxa"/>
            <w:tcBorders>
              <w:top w:val="dotted" w:color="000000" w:sz="4" w:space="0"/>
              <w:left w:val="single" w:color="000000" w:sz="4" w:space="0"/>
              <w:bottom w:val="dotted" w:color="000000" w:sz="4" w:space="0"/>
              <w:right w:val="single" w:color="000000" w:sz="4" w:space="0"/>
            </w:tcBorders>
          </w:tcPr>
          <w:p>
            <w:pPr>
              <w:pStyle w:val="9"/>
              <w:spacing w:before="2"/>
              <w:ind w:left="22"/>
              <w:rPr>
                <w:b/>
                <w:sz w:val="24"/>
              </w:rPr>
            </w:pPr>
            <w:r>
              <w:rPr>
                <w:b/>
                <w:sz w:val="24"/>
              </w:rPr>
              <w:t>UNIT-III</w:t>
            </w:r>
          </w:p>
          <w:p>
            <w:pPr>
              <w:pStyle w:val="9"/>
              <w:spacing w:before="3"/>
              <w:rPr>
                <w:b/>
                <w:sz w:val="27"/>
              </w:rPr>
            </w:pPr>
          </w:p>
          <w:p>
            <w:pPr>
              <w:pStyle w:val="9"/>
              <w:spacing w:before="1" w:line="259" w:lineRule="auto"/>
              <w:ind w:left="22" w:right="-29"/>
              <w:jc w:val="both"/>
              <w:rPr>
                <w:sz w:val="24"/>
              </w:rPr>
            </w:pPr>
            <w:r>
              <w:rPr>
                <w:b/>
                <w:sz w:val="24"/>
              </w:rPr>
              <w:t>(b) Money Markets</w:t>
            </w:r>
            <w:r>
              <w:rPr>
                <w:sz w:val="24"/>
              </w:rPr>
              <w:t>: Meaning, Instruments: Treasury Bills, Certificate of Deposits, Commercial Paper, Call money Commercial bills, Inter-corporate deposits, Inter-bank participation certificates.</w:t>
            </w:r>
          </w:p>
        </w:tc>
        <w:tc>
          <w:tcPr>
            <w:tcW w:w="1340" w:type="dxa"/>
            <w:tcBorders>
              <w:top w:val="dotted" w:color="000000" w:sz="4" w:space="0"/>
              <w:left w:val="single" w:color="000000" w:sz="4" w:space="0"/>
              <w:bottom w:val="dotted" w:color="000000" w:sz="4" w:space="0"/>
              <w:right w:val="single" w:color="000000" w:sz="4" w:space="0"/>
            </w:tcBorders>
          </w:tcPr>
          <w:p>
            <w:pPr>
              <w:pStyle w:val="9"/>
              <w:spacing w:line="267" w:lineRule="exact"/>
              <w:ind w:left="149"/>
              <w:rPr>
                <w:rFonts w:ascii="Arial"/>
                <w:sz w:val="24"/>
              </w:rPr>
            </w:pPr>
            <w:r>
              <w:rPr>
                <w:rFonts w:ascii="Arial"/>
                <w:sz w:val="24"/>
              </w:rPr>
              <w:t>CO4</w:t>
            </w:r>
          </w:p>
        </w:tc>
        <w:tc>
          <w:tcPr>
            <w:tcW w:w="2650" w:type="dxa"/>
            <w:tcBorders>
              <w:top w:val="dotted" w:color="000000" w:sz="4" w:space="0"/>
              <w:left w:val="single" w:color="000000" w:sz="4" w:space="0"/>
              <w:bottom w:val="dotted" w:color="000000" w:sz="4" w:space="0"/>
            </w:tcBorders>
          </w:tcPr>
          <w:p>
            <w:pPr>
              <w:pStyle w:val="9"/>
              <w:spacing w:before="101"/>
              <w:ind w:left="149"/>
              <w:rPr>
                <w:rFonts w:ascii="Arial"/>
                <w:sz w:val="24"/>
              </w:rPr>
            </w:pPr>
            <w:r>
              <w:rPr>
                <w:rFonts w:ascii="Arial"/>
                <w:sz w:val="24"/>
              </w:rPr>
              <w:t>Lecture</w:t>
            </w:r>
          </w:p>
        </w:tc>
      </w:tr>
    </w:tbl>
    <w:p>
      <w:pPr>
        <w:spacing w:after="0"/>
        <w:rPr>
          <w:rFonts w:ascii="Arial"/>
          <w:sz w:val="24"/>
        </w:rPr>
        <w:sectPr>
          <w:pgSz w:w="11900" w:h="16850"/>
          <w:pgMar w:top="1060" w:right="600" w:bottom="1340" w:left="1020" w:header="284" w:footer="1149" w:gutter="0"/>
          <w:cols w:space="720" w:num="1"/>
        </w:sectPr>
      </w:pPr>
    </w:p>
    <w:p>
      <w:pPr>
        <w:pStyle w:val="6"/>
        <w:rPr>
          <w:rFonts w:ascii="Times New Roman"/>
          <w:b/>
          <w:sz w:val="7"/>
        </w:rPr>
      </w:pPr>
    </w:p>
    <w:tbl>
      <w:tblPr>
        <w:tblStyle w:val="5"/>
        <w:tblW w:w="9853" w:type="dxa"/>
        <w:tblInd w:w="30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94"/>
        <w:gridCol w:w="1095"/>
        <w:gridCol w:w="4374"/>
        <w:gridCol w:w="1340"/>
        <w:gridCol w:w="265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912" w:hRule="atLeast"/>
        </w:trPr>
        <w:tc>
          <w:tcPr>
            <w:tcW w:w="394" w:type="dxa"/>
            <w:tcBorders>
              <w:top w:val="nil"/>
              <w:bottom w:val="single" w:color="000000" w:sz="4" w:space="0"/>
              <w:right w:val="single" w:color="000000" w:sz="4" w:space="0"/>
            </w:tcBorders>
          </w:tcPr>
          <w:p>
            <w:pPr>
              <w:pStyle w:val="9"/>
              <w:rPr>
                <w:sz w:val="22"/>
              </w:rPr>
            </w:pPr>
          </w:p>
        </w:tc>
        <w:tc>
          <w:tcPr>
            <w:tcW w:w="1095" w:type="dxa"/>
            <w:tcBorders>
              <w:top w:val="dotted" w:color="000000" w:sz="4" w:space="0"/>
              <w:left w:val="single" w:color="000000" w:sz="4" w:space="0"/>
              <w:bottom w:val="dotted" w:color="000000" w:sz="4" w:space="0"/>
              <w:right w:val="single" w:color="000000" w:sz="4" w:space="0"/>
            </w:tcBorders>
            <w:shd w:val="clear" w:color="auto" w:fill="C5D9EF"/>
          </w:tcPr>
          <w:p>
            <w:pPr>
              <w:pStyle w:val="9"/>
              <w:rPr>
                <w:b/>
                <w:sz w:val="26"/>
              </w:rPr>
            </w:pPr>
          </w:p>
          <w:p>
            <w:pPr>
              <w:pStyle w:val="9"/>
              <w:spacing w:before="151"/>
              <w:ind w:right="75"/>
              <w:jc w:val="right"/>
              <w:rPr>
                <w:sz w:val="24"/>
              </w:rPr>
            </w:pPr>
            <w:r>
              <w:rPr>
                <w:sz w:val="24"/>
              </w:rPr>
              <w:t>Week 11</w:t>
            </w:r>
          </w:p>
        </w:tc>
        <w:tc>
          <w:tcPr>
            <w:tcW w:w="4374" w:type="dxa"/>
            <w:tcBorders>
              <w:top w:val="dotted" w:color="000000" w:sz="4" w:space="0"/>
              <w:left w:val="single" w:color="000000" w:sz="4" w:space="0"/>
              <w:bottom w:val="dotted" w:color="000000" w:sz="4" w:space="0"/>
              <w:right w:val="single" w:color="000000" w:sz="4" w:space="0"/>
            </w:tcBorders>
            <w:shd w:val="clear" w:color="auto" w:fill="C5D9EF"/>
          </w:tcPr>
          <w:p>
            <w:pPr>
              <w:pStyle w:val="9"/>
              <w:spacing w:before="144"/>
              <w:ind w:left="149"/>
              <w:rPr>
                <w:rFonts w:ascii="Arial"/>
                <w:sz w:val="24"/>
              </w:rPr>
            </w:pPr>
            <w:r>
              <w:rPr>
                <w:rFonts w:ascii="Arial"/>
                <w:sz w:val="24"/>
              </w:rPr>
              <w:t>Mid Semester</w:t>
            </w:r>
            <w:r>
              <w:rPr>
                <w:rFonts w:ascii="Arial"/>
                <w:spacing w:val="62"/>
                <w:sz w:val="24"/>
              </w:rPr>
              <w:t xml:space="preserve"> </w:t>
            </w:r>
            <w:r>
              <w:rPr>
                <w:rFonts w:ascii="Arial"/>
                <w:sz w:val="24"/>
              </w:rPr>
              <w:t>Examination</w:t>
            </w:r>
          </w:p>
        </w:tc>
        <w:tc>
          <w:tcPr>
            <w:tcW w:w="1340" w:type="dxa"/>
            <w:tcBorders>
              <w:top w:val="dotted" w:color="000000" w:sz="4" w:space="0"/>
              <w:left w:val="single" w:color="000000" w:sz="4" w:space="0"/>
              <w:bottom w:val="dotted" w:color="000000" w:sz="4" w:space="0"/>
              <w:right w:val="single" w:color="000000" w:sz="4" w:space="0"/>
            </w:tcBorders>
            <w:shd w:val="clear" w:color="auto" w:fill="C5D9EF"/>
          </w:tcPr>
          <w:p>
            <w:pPr>
              <w:pStyle w:val="9"/>
              <w:spacing w:line="264" w:lineRule="exact"/>
              <w:ind w:left="284"/>
              <w:rPr>
                <w:rFonts w:ascii="Arial"/>
                <w:sz w:val="24"/>
              </w:rPr>
            </w:pPr>
            <w:r>
              <w:rPr>
                <w:rFonts w:ascii="Arial"/>
                <w:sz w:val="24"/>
              </w:rPr>
              <w:t>NA</w:t>
            </w:r>
          </w:p>
        </w:tc>
        <w:tc>
          <w:tcPr>
            <w:tcW w:w="2650" w:type="dxa"/>
            <w:tcBorders>
              <w:top w:val="dotted" w:color="000000" w:sz="4" w:space="0"/>
              <w:left w:val="single" w:color="000000" w:sz="4" w:space="0"/>
              <w:bottom w:val="dotted" w:color="000000" w:sz="4" w:space="0"/>
            </w:tcBorders>
            <w:shd w:val="clear" w:color="auto" w:fill="C5D9EF"/>
          </w:tcPr>
          <w:p>
            <w:pPr>
              <w:pStyle w:val="9"/>
              <w:spacing w:line="274" w:lineRule="exact"/>
              <w:ind w:left="485"/>
              <w:rPr>
                <w:rFonts w:ascii="Arial"/>
                <w:sz w:val="24"/>
              </w:rPr>
            </w:pPr>
            <w:r>
              <w:rPr>
                <w:rFonts w:ascii="Arial"/>
                <w:sz w:val="24"/>
              </w:rPr>
              <w:t>NA</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926" w:hRule="atLeast"/>
        </w:trPr>
        <w:tc>
          <w:tcPr>
            <w:tcW w:w="394" w:type="dxa"/>
            <w:tcBorders>
              <w:top w:val="single" w:color="000000" w:sz="4" w:space="0"/>
              <w:bottom w:val="single" w:color="000000" w:sz="4" w:space="0"/>
              <w:right w:val="single" w:color="000000" w:sz="4" w:space="0"/>
            </w:tcBorders>
          </w:tcPr>
          <w:p>
            <w:pPr>
              <w:pStyle w:val="9"/>
              <w:rPr>
                <w:sz w:val="22"/>
              </w:rPr>
            </w:pPr>
          </w:p>
        </w:tc>
        <w:tc>
          <w:tcPr>
            <w:tcW w:w="1095" w:type="dxa"/>
            <w:tcBorders>
              <w:top w:val="dotted" w:color="000000" w:sz="4" w:space="0"/>
              <w:left w:val="single" w:color="000000" w:sz="4" w:space="0"/>
              <w:bottom w:val="dotted" w:color="000000" w:sz="4" w:space="0"/>
              <w:right w:val="single" w:color="000000" w:sz="4" w:space="0"/>
            </w:tcBorders>
          </w:tcPr>
          <w:p>
            <w:pPr>
              <w:pStyle w:val="9"/>
              <w:spacing w:before="3"/>
              <w:rPr>
                <w:b/>
                <w:sz w:val="38"/>
              </w:rPr>
            </w:pPr>
          </w:p>
          <w:p>
            <w:pPr>
              <w:pStyle w:val="9"/>
              <w:ind w:right="75"/>
              <w:jc w:val="right"/>
              <w:rPr>
                <w:sz w:val="24"/>
              </w:rPr>
            </w:pPr>
            <w:r>
              <w:rPr>
                <w:sz w:val="24"/>
              </w:rPr>
              <w:t>Week 12</w:t>
            </w:r>
          </w:p>
        </w:tc>
        <w:tc>
          <w:tcPr>
            <w:tcW w:w="4374" w:type="dxa"/>
            <w:tcBorders>
              <w:top w:val="dotted" w:color="000000" w:sz="4" w:space="0"/>
              <w:left w:val="single" w:color="000000" w:sz="4" w:space="0"/>
              <w:bottom w:val="dotted" w:color="000000" w:sz="4" w:space="0"/>
              <w:right w:val="single" w:color="000000" w:sz="4" w:space="0"/>
            </w:tcBorders>
          </w:tcPr>
          <w:p>
            <w:pPr>
              <w:pStyle w:val="9"/>
              <w:spacing w:line="272" w:lineRule="exact"/>
              <w:ind w:left="22"/>
              <w:jc w:val="both"/>
              <w:rPr>
                <w:rFonts w:ascii="Arial"/>
                <w:sz w:val="24"/>
              </w:rPr>
            </w:pPr>
            <w:r>
              <w:rPr>
                <w:rFonts w:ascii="Arial"/>
                <w:sz w:val="24"/>
              </w:rPr>
              <w:t>UNIT -IV</w:t>
            </w:r>
          </w:p>
          <w:p>
            <w:pPr>
              <w:pStyle w:val="9"/>
              <w:spacing w:line="259" w:lineRule="auto"/>
              <w:ind w:left="22" w:right="-29"/>
              <w:jc w:val="both"/>
              <w:rPr>
                <w:sz w:val="24"/>
              </w:rPr>
            </w:pPr>
            <w:r>
              <w:rPr>
                <w:sz w:val="24"/>
              </w:rPr>
              <w:t>Overview of Financial Services Industry. Coverage: Introduction/Concept of Financial Services, and Types of Financial Services. Focus on fee based financial services only.</w:t>
            </w:r>
          </w:p>
        </w:tc>
        <w:tc>
          <w:tcPr>
            <w:tcW w:w="1340" w:type="dxa"/>
            <w:tcBorders>
              <w:top w:val="dotted" w:color="000000" w:sz="4" w:space="0"/>
              <w:left w:val="single" w:color="000000" w:sz="4" w:space="0"/>
              <w:bottom w:val="dotted" w:color="000000" w:sz="4" w:space="0"/>
              <w:right w:val="single" w:color="000000" w:sz="4" w:space="0"/>
            </w:tcBorders>
          </w:tcPr>
          <w:p>
            <w:pPr>
              <w:pStyle w:val="9"/>
              <w:spacing w:line="264" w:lineRule="exact"/>
              <w:ind w:left="149"/>
              <w:rPr>
                <w:rFonts w:ascii="Arial"/>
                <w:sz w:val="24"/>
              </w:rPr>
            </w:pPr>
            <w:r>
              <w:rPr>
                <w:rFonts w:ascii="Arial"/>
                <w:sz w:val="24"/>
              </w:rPr>
              <w:t>C05,CO6</w:t>
            </w:r>
          </w:p>
        </w:tc>
        <w:tc>
          <w:tcPr>
            <w:tcW w:w="2650" w:type="dxa"/>
            <w:tcBorders>
              <w:top w:val="dotted" w:color="000000" w:sz="4" w:space="0"/>
              <w:left w:val="single" w:color="000000" w:sz="4" w:space="0"/>
              <w:bottom w:val="dotted" w:color="000000" w:sz="4" w:space="0"/>
            </w:tcBorders>
          </w:tcPr>
          <w:p>
            <w:pPr>
              <w:pStyle w:val="9"/>
              <w:rPr>
                <w:b/>
                <w:sz w:val="26"/>
              </w:rPr>
            </w:pPr>
          </w:p>
          <w:p>
            <w:pPr>
              <w:pStyle w:val="9"/>
              <w:spacing w:before="157"/>
              <w:ind w:left="149"/>
              <w:rPr>
                <w:rFonts w:ascii="Arial"/>
                <w:sz w:val="24"/>
              </w:rPr>
            </w:pPr>
            <w:r>
              <w:rPr>
                <w:rFonts w:ascii="Arial"/>
                <w:sz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702" w:hRule="atLeast"/>
        </w:trPr>
        <w:tc>
          <w:tcPr>
            <w:tcW w:w="394" w:type="dxa"/>
            <w:tcBorders>
              <w:top w:val="single" w:color="000000" w:sz="4" w:space="0"/>
              <w:bottom w:val="single" w:color="000000" w:sz="4" w:space="0"/>
              <w:right w:val="single" w:color="000000" w:sz="4" w:space="0"/>
            </w:tcBorders>
          </w:tcPr>
          <w:p>
            <w:pPr>
              <w:pStyle w:val="9"/>
              <w:rPr>
                <w:sz w:val="22"/>
              </w:rPr>
            </w:pPr>
          </w:p>
        </w:tc>
        <w:tc>
          <w:tcPr>
            <w:tcW w:w="1095" w:type="dxa"/>
            <w:tcBorders>
              <w:top w:val="dotted" w:color="000000" w:sz="4" w:space="0"/>
              <w:left w:val="single" w:color="000000" w:sz="4" w:space="0"/>
              <w:bottom w:val="dotted" w:color="000000" w:sz="4" w:space="0"/>
              <w:right w:val="single" w:color="000000" w:sz="4" w:space="0"/>
            </w:tcBorders>
          </w:tcPr>
          <w:p>
            <w:pPr>
              <w:pStyle w:val="9"/>
              <w:spacing w:line="270" w:lineRule="exact"/>
              <w:ind w:right="75"/>
              <w:jc w:val="right"/>
              <w:rPr>
                <w:sz w:val="24"/>
              </w:rPr>
            </w:pPr>
            <w:r>
              <w:rPr>
                <w:sz w:val="24"/>
              </w:rPr>
              <w:t>Week 13</w:t>
            </w:r>
          </w:p>
        </w:tc>
        <w:tc>
          <w:tcPr>
            <w:tcW w:w="4374" w:type="dxa"/>
            <w:tcBorders>
              <w:top w:val="dotted" w:color="000000" w:sz="4" w:space="0"/>
              <w:left w:val="single" w:color="000000" w:sz="4" w:space="0"/>
              <w:bottom w:val="dotted" w:color="000000" w:sz="4" w:space="0"/>
              <w:right w:val="single" w:color="000000" w:sz="4" w:space="0"/>
            </w:tcBorders>
          </w:tcPr>
          <w:p>
            <w:pPr>
              <w:pStyle w:val="9"/>
              <w:spacing w:line="275" w:lineRule="exact"/>
              <w:ind w:left="22"/>
              <w:jc w:val="both"/>
              <w:rPr>
                <w:b/>
                <w:sz w:val="24"/>
              </w:rPr>
            </w:pPr>
            <w:r>
              <w:rPr>
                <w:b/>
                <w:sz w:val="24"/>
              </w:rPr>
              <w:t>UNIT -V</w:t>
            </w:r>
          </w:p>
          <w:p>
            <w:pPr>
              <w:pStyle w:val="9"/>
              <w:spacing w:before="8"/>
              <w:rPr>
                <w:b/>
                <w:sz w:val="27"/>
              </w:rPr>
            </w:pPr>
          </w:p>
          <w:p>
            <w:pPr>
              <w:pStyle w:val="9"/>
              <w:ind w:left="22"/>
              <w:jc w:val="both"/>
              <w:rPr>
                <w:b/>
                <w:sz w:val="24"/>
              </w:rPr>
            </w:pPr>
            <w:r>
              <w:rPr>
                <w:b/>
                <w:sz w:val="24"/>
              </w:rPr>
              <w:t>Financial Services :</w:t>
            </w:r>
          </w:p>
          <w:p>
            <w:pPr>
              <w:pStyle w:val="9"/>
              <w:spacing w:before="18" w:line="259" w:lineRule="auto"/>
              <w:ind w:left="22" w:right="-29"/>
              <w:jc w:val="both"/>
              <w:rPr>
                <w:sz w:val="24"/>
              </w:rPr>
            </w:pPr>
            <w:r>
              <w:rPr>
                <w:sz w:val="24"/>
              </w:rPr>
              <w:t>Factoring and Forfeiting , Housing Finance Companies , Leasing and Hire Purchase and Venture Capital</w:t>
            </w:r>
          </w:p>
        </w:tc>
        <w:tc>
          <w:tcPr>
            <w:tcW w:w="1340" w:type="dxa"/>
            <w:tcBorders>
              <w:top w:val="dotted" w:color="000000" w:sz="4" w:space="0"/>
              <w:left w:val="single" w:color="000000" w:sz="4" w:space="0"/>
              <w:bottom w:val="dotted" w:color="000000" w:sz="4" w:space="0"/>
              <w:right w:val="single" w:color="000000" w:sz="4" w:space="0"/>
            </w:tcBorders>
          </w:tcPr>
          <w:p>
            <w:pPr>
              <w:pStyle w:val="9"/>
              <w:spacing w:line="264" w:lineRule="exact"/>
              <w:ind w:left="149"/>
              <w:rPr>
                <w:rFonts w:ascii="Arial"/>
                <w:sz w:val="24"/>
              </w:rPr>
            </w:pPr>
            <w:r>
              <w:rPr>
                <w:rFonts w:ascii="Arial"/>
                <w:sz w:val="24"/>
              </w:rPr>
              <w:t>C05,C06</w:t>
            </w:r>
          </w:p>
        </w:tc>
        <w:tc>
          <w:tcPr>
            <w:tcW w:w="2650" w:type="dxa"/>
            <w:tcBorders>
              <w:top w:val="dotted" w:color="000000" w:sz="4" w:space="0"/>
              <w:left w:val="single" w:color="000000" w:sz="4" w:space="0"/>
              <w:bottom w:val="dotted" w:color="000000" w:sz="4" w:space="0"/>
            </w:tcBorders>
          </w:tcPr>
          <w:p>
            <w:pPr>
              <w:pStyle w:val="9"/>
              <w:rPr>
                <w:b/>
                <w:sz w:val="26"/>
              </w:rPr>
            </w:pPr>
          </w:p>
          <w:p>
            <w:pPr>
              <w:pStyle w:val="9"/>
              <w:spacing w:before="157"/>
              <w:ind w:left="149"/>
              <w:rPr>
                <w:rFonts w:ascii="Arial"/>
                <w:sz w:val="24"/>
              </w:rPr>
            </w:pPr>
            <w:r>
              <w:rPr>
                <w:rFonts w:ascii="Arial"/>
                <w:sz w:val="24"/>
              </w:rPr>
              <w:t>Lecture</w:t>
            </w:r>
          </w:p>
          <w:p>
            <w:pPr>
              <w:pStyle w:val="9"/>
              <w:rPr>
                <w:b/>
                <w:sz w:val="26"/>
              </w:rPr>
            </w:pPr>
          </w:p>
          <w:p>
            <w:pPr>
              <w:pStyle w:val="9"/>
              <w:spacing w:before="9"/>
              <w:rPr>
                <w:b/>
                <w:sz w:val="29"/>
              </w:rPr>
            </w:pPr>
          </w:p>
          <w:p>
            <w:pPr>
              <w:pStyle w:val="9"/>
              <w:ind w:left="149"/>
              <w:rPr>
                <w:rFonts w:ascii="Arial"/>
                <w:sz w:val="24"/>
              </w:rPr>
            </w:pPr>
            <w:r>
              <w:rPr>
                <w:rFonts w:ascii="Arial"/>
                <w:sz w:val="24"/>
              </w:rPr>
              <w:t>Assignment No: 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2702" w:hRule="atLeast"/>
        </w:trPr>
        <w:tc>
          <w:tcPr>
            <w:tcW w:w="394" w:type="dxa"/>
            <w:tcBorders>
              <w:top w:val="single" w:color="000000" w:sz="4" w:space="0"/>
              <w:bottom w:val="single" w:color="000000" w:sz="4" w:space="0"/>
              <w:right w:val="single" w:color="000000" w:sz="4" w:space="0"/>
            </w:tcBorders>
          </w:tcPr>
          <w:p>
            <w:pPr>
              <w:pStyle w:val="9"/>
              <w:rPr>
                <w:sz w:val="22"/>
              </w:rPr>
            </w:pPr>
          </w:p>
        </w:tc>
        <w:tc>
          <w:tcPr>
            <w:tcW w:w="1095" w:type="dxa"/>
            <w:tcBorders>
              <w:top w:val="dotted" w:color="000000" w:sz="4" w:space="0"/>
              <w:left w:val="single" w:color="000000" w:sz="4" w:space="0"/>
              <w:bottom w:val="dotted" w:color="000000" w:sz="4" w:space="0"/>
              <w:right w:val="single" w:color="000000" w:sz="4" w:space="0"/>
            </w:tcBorders>
          </w:tcPr>
          <w:p>
            <w:pPr>
              <w:pStyle w:val="9"/>
              <w:spacing w:line="270" w:lineRule="exact"/>
              <w:ind w:right="75"/>
              <w:jc w:val="right"/>
              <w:rPr>
                <w:sz w:val="24"/>
              </w:rPr>
            </w:pPr>
            <w:r>
              <w:rPr>
                <w:sz w:val="24"/>
              </w:rPr>
              <w:t>Week 14</w:t>
            </w:r>
          </w:p>
        </w:tc>
        <w:tc>
          <w:tcPr>
            <w:tcW w:w="4374" w:type="dxa"/>
            <w:tcBorders>
              <w:top w:val="dotted" w:color="000000" w:sz="4" w:space="0"/>
              <w:left w:val="single" w:color="000000" w:sz="4" w:space="0"/>
              <w:bottom w:val="dotted" w:color="000000" w:sz="4" w:space="0"/>
              <w:right w:val="single" w:color="000000" w:sz="4" w:space="0"/>
            </w:tcBorders>
          </w:tcPr>
          <w:p>
            <w:pPr>
              <w:pStyle w:val="9"/>
              <w:spacing w:line="275" w:lineRule="exact"/>
              <w:ind w:left="22"/>
              <w:jc w:val="both"/>
              <w:rPr>
                <w:b/>
                <w:sz w:val="24"/>
              </w:rPr>
            </w:pPr>
            <w:r>
              <w:rPr>
                <w:b/>
                <w:sz w:val="24"/>
              </w:rPr>
              <w:t>UNIT -V</w:t>
            </w:r>
          </w:p>
          <w:p>
            <w:pPr>
              <w:pStyle w:val="9"/>
              <w:spacing w:before="8"/>
              <w:rPr>
                <w:b/>
                <w:sz w:val="27"/>
              </w:rPr>
            </w:pPr>
          </w:p>
          <w:p>
            <w:pPr>
              <w:pStyle w:val="9"/>
              <w:ind w:left="22"/>
              <w:jc w:val="both"/>
              <w:rPr>
                <w:b/>
                <w:sz w:val="24"/>
              </w:rPr>
            </w:pPr>
            <w:r>
              <w:rPr>
                <w:b/>
                <w:sz w:val="24"/>
              </w:rPr>
              <w:t>Financial Services :</w:t>
            </w:r>
          </w:p>
          <w:p>
            <w:pPr>
              <w:pStyle w:val="9"/>
              <w:spacing w:before="17" w:line="259" w:lineRule="auto"/>
              <w:ind w:left="22" w:right="-29"/>
              <w:jc w:val="both"/>
              <w:rPr>
                <w:sz w:val="24"/>
              </w:rPr>
            </w:pPr>
            <w:r>
              <w:rPr>
                <w:sz w:val="24"/>
              </w:rPr>
              <w:t>Factoring and Forfeiting , Housing Finance Companies , Leasing and Hire Purchase and Venture Capital</w:t>
            </w:r>
          </w:p>
        </w:tc>
        <w:tc>
          <w:tcPr>
            <w:tcW w:w="1340" w:type="dxa"/>
            <w:tcBorders>
              <w:top w:val="dotted" w:color="000000" w:sz="4" w:space="0"/>
              <w:left w:val="single" w:color="000000" w:sz="4" w:space="0"/>
              <w:bottom w:val="dotted" w:color="000000" w:sz="4" w:space="0"/>
              <w:right w:val="single" w:color="000000" w:sz="4" w:space="0"/>
            </w:tcBorders>
          </w:tcPr>
          <w:p>
            <w:pPr>
              <w:pStyle w:val="9"/>
              <w:spacing w:line="264" w:lineRule="exact"/>
              <w:ind w:left="149"/>
              <w:rPr>
                <w:rFonts w:ascii="Arial"/>
                <w:sz w:val="24"/>
              </w:rPr>
            </w:pPr>
            <w:r>
              <w:rPr>
                <w:rFonts w:ascii="Arial"/>
                <w:sz w:val="24"/>
              </w:rPr>
              <w:t>C05,CO6</w:t>
            </w:r>
          </w:p>
        </w:tc>
        <w:tc>
          <w:tcPr>
            <w:tcW w:w="2650" w:type="dxa"/>
            <w:tcBorders>
              <w:top w:val="dotted" w:color="000000" w:sz="4" w:space="0"/>
              <w:left w:val="single" w:color="000000" w:sz="4" w:space="0"/>
              <w:bottom w:val="dotted" w:color="000000" w:sz="4" w:space="0"/>
            </w:tcBorders>
          </w:tcPr>
          <w:p>
            <w:pPr>
              <w:pStyle w:val="9"/>
              <w:rPr>
                <w:b/>
                <w:sz w:val="26"/>
              </w:rPr>
            </w:pPr>
          </w:p>
          <w:p>
            <w:pPr>
              <w:pStyle w:val="9"/>
              <w:spacing w:before="159"/>
              <w:ind w:left="149"/>
              <w:rPr>
                <w:rFonts w:ascii="Arial"/>
                <w:sz w:val="24"/>
              </w:rPr>
            </w:pPr>
            <w:r>
              <w:rPr>
                <w:rFonts w:ascii="Arial"/>
                <w:sz w:val="24"/>
              </w:rPr>
              <w:t>Lecture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PrEx>
        <w:trPr>
          <w:trHeight w:val="921" w:hRule="atLeast"/>
        </w:trPr>
        <w:tc>
          <w:tcPr>
            <w:tcW w:w="394" w:type="dxa"/>
            <w:tcBorders>
              <w:top w:val="single" w:color="000000" w:sz="4" w:space="0"/>
              <w:bottom w:val="single" w:color="000000" w:sz="4" w:space="0"/>
              <w:right w:val="single" w:color="000000" w:sz="4" w:space="0"/>
            </w:tcBorders>
          </w:tcPr>
          <w:p>
            <w:pPr>
              <w:pStyle w:val="9"/>
              <w:rPr>
                <w:sz w:val="22"/>
              </w:rPr>
            </w:pPr>
          </w:p>
        </w:tc>
        <w:tc>
          <w:tcPr>
            <w:tcW w:w="1095" w:type="dxa"/>
            <w:tcBorders>
              <w:top w:val="dotted" w:color="000000" w:sz="4" w:space="0"/>
              <w:left w:val="single" w:color="000000" w:sz="4" w:space="0"/>
              <w:bottom w:val="dotted" w:color="000000" w:sz="4" w:space="0"/>
              <w:right w:val="single" w:color="000000" w:sz="4" w:space="0"/>
            </w:tcBorders>
          </w:tcPr>
          <w:p>
            <w:pPr>
              <w:pStyle w:val="9"/>
              <w:spacing w:line="270" w:lineRule="exact"/>
              <w:ind w:right="75"/>
              <w:jc w:val="right"/>
              <w:rPr>
                <w:sz w:val="24"/>
              </w:rPr>
            </w:pPr>
            <w:r>
              <w:rPr>
                <w:sz w:val="24"/>
              </w:rPr>
              <w:t>Week 15</w:t>
            </w:r>
          </w:p>
        </w:tc>
        <w:tc>
          <w:tcPr>
            <w:tcW w:w="4374" w:type="dxa"/>
            <w:tcBorders>
              <w:top w:val="dotted" w:color="000000" w:sz="4" w:space="0"/>
              <w:left w:val="single" w:color="000000" w:sz="4" w:space="0"/>
              <w:bottom w:val="dotted" w:color="000000" w:sz="4" w:space="0"/>
              <w:right w:val="single" w:color="000000" w:sz="4" w:space="0"/>
            </w:tcBorders>
          </w:tcPr>
          <w:p>
            <w:pPr>
              <w:pStyle w:val="9"/>
              <w:spacing w:line="274" w:lineRule="exact"/>
              <w:ind w:left="149"/>
              <w:rPr>
                <w:rFonts w:ascii="Arial"/>
                <w:sz w:val="24"/>
              </w:rPr>
            </w:pPr>
            <w:r>
              <w:rPr>
                <w:rFonts w:ascii="Arial"/>
                <w:sz w:val="24"/>
              </w:rPr>
              <w:t>Revision</w:t>
            </w:r>
          </w:p>
        </w:tc>
        <w:tc>
          <w:tcPr>
            <w:tcW w:w="1340" w:type="dxa"/>
            <w:tcBorders>
              <w:top w:val="dotted" w:color="000000" w:sz="4" w:space="0"/>
              <w:left w:val="single" w:color="000000" w:sz="4" w:space="0"/>
              <w:bottom w:val="dotted" w:color="000000" w:sz="4" w:space="0"/>
              <w:right w:val="single" w:color="000000" w:sz="4" w:space="0"/>
            </w:tcBorders>
          </w:tcPr>
          <w:p>
            <w:pPr>
              <w:pStyle w:val="9"/>
              <w:rPr>
                <w:sz w:val="22"/>
              </w:rPr>
            </w:pPr>
          </w:p>
        </w:tc>
        <w:tc>
          <w:tcPr>
            <w:tcW w:w="2650" w:type="dxa"/>
            <w:tcBorders>
              <w:top w:val="dotted" w:color="000000" w:sz="4" w:space="0"/>
              <w:left w:val="single" w:color="000000" w:sz="4" w:space="0"/>
              <w:bottom w:val="dotted" w:color="000000" w:sz="4" w:space="0"/>
            </w:tcBorders>
          </w:tcPr>
          <w:p>
            <w:pPr>
              <w:pStyle w:val="9"/>
              <w:rPr>
                <w:b/>
                <w:sz w:val="26"/>
              </w:rPr>
            </w:pPr>
          </w:p>
          <w:p>
            <w:pPr>
              <w:pStyle w:val="9"/>
              <w:spacing w:before="162"/>
              <w:ind w:left="149"/>
              <w:rPr>
                <w:rFonts w:ascii="Arial"/>
                <w:sz w:val="24"/>
              </w:rPr>
            </w:pPr>
            <w:r>
              <w:rPr>
                <w:rFonts w:ascii="Arial"/>
                <w:sz w:val="24"/>
              </w:rPr>
              <w:t>Lecture</w:t>
            </w:r>
          </w:p>
        </w:tc>
      </w:tr>
    </w:tbl>
    <w:p/>
    <w:sectPr>
      <w:pgSz w:w="11900" w:h="16850"/>
      <w:pgMar w:top="1060" w:right="600" w:bottom="1340" w:left="1020" w:header="284" w:footer="114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0000000000000000000"/>
    <w:charset w:val="00"/>
    <w:family w:val="auto"/>
    <w:pitch w:val="default"/>
    <w:sig w:usb0="00000000" w:usb1="00000000" w:usb2="00000000" w:usb3="00000000" w:csb0="00000000" w:csb1="00000000"/>
  </w:font>
  <w:font w:name="Caladea">
    <w:altName w:val="Gubbi"/>
    <w:panose1 w:val="00000000000000000000"/>
    <w:charset w:val="00"/>
    <w:family w:val="roman"/>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aakar">
    <w:panose1 w:val="02000600040000000000"/>
    <w:charset w:val="00"/>
    <w:family w:val="auto"/>
    <w:pitch w:val="default"/>
    <w:sig w:usb0="80040001" w:usb1="00002000" w:usb2="00000000" w:usb3="00000000" w:csb0="20000000" w:csb1="80000000"/>
  </w:font>
  <w:font w:name="Droid Sans Fallback">
    <w:panose1 w:val="020B0502000000000001"/>
    <w:charset w:val="86"/>
    <w:family w:val="auto"/>
    <w:pitch w:val="default"/>
    <w:sig w:usb0="910002FF" w:usb1="2BDFFCFB" w:usb2="00000036" w:usb3="00000000" w:csb0="203F01FF" w:csb1="D7FF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7"/>
      </w:rPr>
    </w:pPr>
    <w:r>
      <w:drawing>
        <wp:anchor distT="0" distB="0" distL="0" distR="0" simplePos="0" relativeHeight="487178240" behindDoc="1" locked="0" layoutInCell="1" allowOverlap="1">
          <wp:simplePos x="0" y="0"/>
          <wp:positionH relativeFrom="page">
            <wp:posOffset>806450</wp:posOffset>
          </wp:positionH>
          <wp:positionV relativeFrom="page">
            <wp:posOffset>9610725</wp:posOffset>
          </wp:positionV>
          <wp:extent cx="5943600" cy="450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 cstate="print"/>
                  <a:stretch>
                    <a:fillRect/>
                  </a:stretch>
                </pic:blipFill>
                <pic:spPr>
                  <a:xfrm>
                    <a:off x="0" y="0"/>
                    <a:ext cx="5943600" cy="45084"/>
                  </a:xfrm>
                  <a:prstGeom prst="rect">
                    <a:avLst/>
                  </a:prstGeom>
                </pic:spPr>
              </pic:pic>
            </a:graphicData>
          </a:graphic>
        </wp:anchor>
      </w:drawing>
    </w:r>
    <w:r>
      <mc:AlternateContent>
        <mc:Choice Requires="wps">
          <w:drawing>
            <wp:anchor distT="0" distB="0" distL="114300" distR="114300" simplePos="0" relativeHeight="487179264" behindDoc="1" locked="0" layoutInCell="1" allowOverlap="1">
              <wp:simplePos x="0" y="0"/>
              <wp:positionH relativeFrom="page">
                <wp:posOffset>706755</wp:posOffset>
              </wp:positionH>
              <wp:positionV relativeFrom="page">
                <wp:posOffset>9773920</wp:posOffset>
              </wp:positionV>
              <wp:extent cx="3288665" cy="182245"/>
              <wp:effectExtent l="0" t="0" r="0" b="0"/>
              <wp:wrapNone/>
              <wp:docPr id="2" name="Text Box 1"/>
              <wp:cNvGraphicFramePr/>
              <a:graphic xmlns:a="http://schemas.openxmlformats.org/drawingml/2006/main">
                <a:graphicData uri="http://schemas.microsoft.com/office/word/2010/wordprocessingShape">
                  <wps:wsp>
                    <wps:cNvSpPr txBox="1"/>
                    <wps:spPr>
                      <a:xfrm>
                        <a:off x="0" y="0"/>
                        <a:ext cx="3288665" cy="182245"/>
                      </a:xfrm>
                      <a:prstGeom prst="rect">
                        <a:avLst/>
                      </a:prstGeom>
                      <a:noFill/>
                      <a:ln>
                        <a:noFill/>
                      </a:ln>
                    </wps:spPr>
                    <wps:txbx>
                      <w:txbxContent>
                        <w:p>
                          <w:pPr>
                            <w:spacing w:before="13"/>
                            <w:ind w:left="20" w:right="0" w:firstLine="0"/>
                            <w:jc w:val="left"/>
                            <w:rPr>
                              <w:sz w:val="22"/>
                            </w:rPr>
                          </w:pPr>
                          <w:r>
                            <w:rPr>
                              <w:sz w:val="22"/>
                            </w:rPr>
                            <w:t>Subject-Code: MB0422, Semester: IV, (Year : 2022)</w:t>
                          </w:r>
                        </w:p>
                      </w:txbxContent>
                    </wps:txbx>
                    <wps:bodyPr lIns="0" tIns="0" rIns="0" bIns="0" upright="1"/>
                  </wps:wsp>
                </a:graphicData>
              </a:graphic>
            </wp:anchor>
          </w:drawing>
        </mc:Choice>
        <mc:Fallback>
          <w:pict>
            <v:shape id="Text Box 1" o:spid="_x0000_s1026" o:spt="202" type="#_x0000_t202" style="position:absolute;left:0pt;margin-left:55.65pt;margin-top:769.6pt;height:14.35pt;width:258.95pt;mso-position-horizontal-relative:page;mso-position-vertical-relative:page;z-index:-16137216;mso-width-relative:page;mso-height-relative:page;" filled="f" stroked="f" coordsize="21600,21600" o:gfxdata="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BUgn/P2QAAAA0BAAAP&#10;AAAAAAAAAAEAIAAAADgAAABkcnMvZG93bnJldi54bWxQSwECFAAUAAAACACHTuJA0+UA0o8BAAAj&#10;AwAADgAAAAAAAAABACAAAAA+AQAAZHJzL2Uyb0RvYy54bWxQSwUGAAAAAAYABgBZAQAAPwUAAAAA&#10;">
              <v:fill on="f" focussize="0,0"/>
              <v:stroke on="f"/>
              <v:imagedata o:title=""/>
              <o:lock v:ext="edit" aspectratio="f"/>
              <v:textbox inset="0mm,0mm,0mm,0mm">
                <w:txbxContent>
                  <w:p>
                    <w:pPr>
                      <w:spacing w:before="13"/>
                      <w:ind w:left="20" w:right="0" w:firstLine="0"/>
                      <w:jc w:val="left"/>
                      <w:rPr>
                        <w:sz w:val="22"/>
                      </w:rPr>
                    </w:pPr>
                    <w:r>
                      <w:rPr>
                        <w:sz w:val="22"/>
                      </w:rPr>
                      <w:t>Subject-Code: MB0422, Semester: IV, (Year : 2022)</w:t>
                    </w:r>
                  </w:p>
                </w:txbxContent>
              </v:textbox>
            </v:shape>
          </w:pict>
        </mc:Fallback>
      </mc:AlternateContent>
    </w:r>
    <w:r>
      <mc:AlternateContent>
        <mc:Choice Requires="wps">
          <w:drawing>
            <wp:anchor distT="0" distB="0" distL="114300" distR="114300" simplePos="0" relativeHeight="487179264" behindDoc="1" locked="0" layoutInCell="1" allowOverlap="1">
              <wp:simplePos x="0" y="0"/>
              <wp:positionH relativeFrom="page">
                <wp:posOffset>5751830</wp:posOffset>
              </wp:positionH>
              <wp:positionV relativeFrom="page">
                <wp:posOffset>9773920</wp:posOffset>
              </wp:positionV>
              <wp:extent cx="920115" cy="182245"/>
              <wp:effectExtent l="0" t="0" r="0" b="0"/>
              <wp:wrapNone/>
              <wp:docPr id="4" name="Text Box 2"/>
              <wp:cNvGraphicFramePr/>
              <a:graphic xmlns:a="http://schemas.openxmlformats.org/drawingml/2006/main">
                <a:graphicData uri="http://schemas.microsoft.com/office/word/2010/wordprocessingShape">
                  <wps:wsp>
                    <wps:cNvSpPr txBox="1"/>
                    <wps:spPr>
                      <a:xfrm>
                        <a:off x="0" y="0"/>
                        <a:ext cx="920115" cy="182245"/>
                      </a:xfrm>
                      <a:prstGeom prst="rect">
                        <a:avLst/>
                      </a:prstGeom>
                      <a:noFill/>
                      <a:ln>
                        <a:noFill/>
                      </a:ln>
                    </wps:spPr>
                    <wps:txbx>
                      <w:txbxContent>
                        <w:p>
                          <w:pPr>
                            <w:spacing w:before="13"/>
                            <w:ind w:left="20" w:right="0" w:firstLine="0"/>
                            <w:jc w:val="left"/>
                            <w:rPr>
                              <w:b/>
                              <w:sz w:val="22"/>
                            </w:rPr>
                          </w:pPr>
                          <w:r>
                            <w:rPr>
                              <w:b/>
                              <w:sz w:val="22"/>
                            </w:rPr>
                            <w:t xml:space="preserve">Page </w:t>
                          </w:r>
                          <w:r>
                            <w:fldChar w:fldCharType="begin"/>
                          </w:r>
                          <w:r>
                            <w:rPr>
                              <w:b/>
                              <w:sz w:val="22"/>
                            </w:rPr>
                            <w:instrText xml:space="preserve"> PAGE </w:instrText>
                          </w:r>
                          <w:r>
                            <w:fldChar w:fldCharType="separate"/>
                          </w:r>
                          <w:r>
                            <w:t>10</w:t>
                          </w:r>
                          <w:r>
                            <w:fldChar w:fldCharType="end"/>
                          </w:r>
                          <w:r>
                            <w:rPr>
                              <w:b/>
                              <w:sz w:val="22"/>
                            </w:rPr>
                            <w:t xml:space="preserve"> of 11</w:t>
                          </w:r>
                        </w:p>
                      </w:txbxContent>
                    </wps:txbx>
                    <wps:bodyPr lIns="0" tIns="0" rIns="0" bIns="0" upright="1"/>
                  </wps:wsp>
                </a:graphicData>
              </a:graphic>
            </wp:anchor>
          </w:drawing>
        </mc:Choice>
        <mc:Fallback>
          <w:pict>
            <v:shape id="Text Box 2" o:spid="_x0000_s1026" o:spt="202" type="#_x0000_t202" style="position:absolute;left:0pt;margin-left:452.9pt;margin-top:769.6pt;height:14.35pt;width:72.45pt;mso-position-horizontal-relative:page;mso-position-vertical-relative:page;z-index:-16137216;mso-width-relative:page;mso-height-relative:page;" filled="f" stroked="f" coordsize="21600,21600" o:gfxdata="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DmUBKN2wAAAA4BAAAP&#10;AAAAAAAAAAEAIAAAADgAAABkcnMvZG93bnJldi54bWxQSwECFAAUAAAACACHTuJAWWrmbI0BAAAi&#10;AwAADgAAAAAAAAABACAAAABAAQAAZHJzL2Uyb0RvYy54bWxQSwUGAAAAAAYABgBZAQAAPwUAAAAA&#10;">
              <v:fill on="f" focussize="0,0"/>
              <v:stroke on="f"/>
              <v:imagedata o:title=""/>
              <o:lock v:ext="edit" aspectratio="f"/>
              <v:textbox inset="0mm,0mm,0mm,0mm">
                <w:txbxContent>
                  <w:p>
                    <w:pPr>
                      <w:spacing w:before="13"/>
                      <w:ind w:left="20" w:right="0" w:firstLine="0"/>
                      <w:jc w:val="left"/>
                      <w:rPr>
                        <w:b/>
                        <w:sz w:val="22"/>
                      </w:rPr>
                    </w:pPr>
                    <w:r>
                      <w:rPr>
                        <w:b/>
                        <w:sz w:val="22"/>
                      </w:rPr>
                      <w:t xml:space="preserve">Page </w:t>
                    </w:r>
                    <w:r>
                      <w:fldChar w:fldCharType="begin"/>
                    </w:r>
                    <w:r>
                      <w:rPr>
                        <w:b/>
                        <w:sz w:val="22"/>
                      </w:rPr>
                      <w:instrText xml:space="preserve"> PAGE </w:instrText>
                    </w:r>
                    <w:r>
                      <w:fldChar w:fldCharType="separate"/>
                    </w:r>
                    <w:r>
                      <w:t>10</w:t>
                    </w:r>
                    <w:r>
                      <w:fldChar w:fldCharType="end"/>
                    </w:r>
                    <w:r>
                      <w:rPr>
                        <w:b/>
                        <w:sz w:val="22"/>
                      </w:rPr>
                      <w:t xml:space="preserve"> of 11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drawing>
        <wp:anchor distT="0" distB="0" distL="0" distR="0" simplePos="0" relativeHeight="487178240" behindDoc="1" locked="0" layoutInCell="1" allowOverlap="1">
          <wp:simplePos x="0" y="0"/>
          <wp:positionH relativeFrom="page">
            <wp:posOffset>5378450</wp:posOffset>
          </wp:positionH>
          <wp:positionV relativeFrom="page">
            <wp:posOffset>179705</wp:posOffset>
          </wp:positionV>
          <wp:extent cx="1456690" cy="4305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1456436" cy="4305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AE552C"/>
    <w:multiLevelType w:val="multilevel"/>
    <w:tmpl w:val="98AE552C"/>
    <w:lvl w:ilvl="0" w:tentative="0">
      <w:start w:val="3"/>
      <w:numFmt w:val="decimal"/>
      <w:lvlText w:val="%1."/>
      <w:lvlJc w:val="left"/>
      <w:pPr>
        <w:ind w:left="381" w:hanging="269"/>
        <w:jc w:val="left"/>
      </w:pPr>
      <w:rPr>
        <w:rFonts w:hint="default" w:ascii="Arial" w:hAnsi="Arial" w:eastAsia="Arial" w:cs="Arial"/>
        <w:w w:val="99"/>
        <w:sz w:val="24"/>
        <w:szCs w:val="24"/>
        <w:lang w:val="en-US" w:eastAsia="en-US" w:bidi="ar-SA"/>
      </w:rPr>
    </w:lvl>
    <w:lvl w:ilvl="1" w:tentative="0">
      <w:start w:val="0"/>
      <w:numFmt w:val="bullet"/>
      <w:lvlText w:val="•"/>
      <w:lvlJc w:val="left"/>
      <w:pPr>
        <w:ind w:left="1369" w:hanging="269"/>
      </w:pPr>
      <w:rPr>
        <w:rFonts w:hint="default"/>
        <w:lang w:val="en-US" w:eastAsia="en-US" w:bidi="ar-SA"/>
      </w:rPr>
    </w:lvl>
    <w:lvl w:ilvl="2" w:tentative="0">
      <w:start w:val="0"/>
      <w:numFmt w:val="bullet"/>
      <w:lvlText w:val="•"/>
      <w:lvlJc w:val="left"/>
      <w:pPr>
        <w:ind w:left="2359" w:hanging="269"/>
      </w:pPr>
      <w:rPr>
        <w:rFonts w:hint="default"/>
        <w:lang w:val="en-US" w:eastAsia="en-US" w:bidi="ar-SA"/>
      </w:rPr>
    </w:lvl>
    <w:lvl w:ilvl="3" w:tentative="0">
      <w:start w:val="0"/>
      <w:numFmt w:val="bullet"/>
      <w:lvlText w:val="•"/>
      <w:lvlJc w:val="left"/>
      <w:pPr>
        <w:ind w:left="3349" w:hanging="269"/>
      </w:pPr>
      <w:rPr>
        <w:rFonts w:hint="default"/>
        <w:lang w:val="en-US" w:eastAsia="en-US" w:bidi="ar-SA"/>
      </w:rPr>
    </w:lvl>
    <w:lvl w:ilvl="4" w:tentative="0">
      <w:start w:val="0"/>
      <w:numFmt w:val="bullet"/>
      <w:lvlText w:val="•"/>
      <w:lvlJc w:val="left"/>
      <w:pPr>
        <w:ind w:left="4339" w:hanging="269"/>
      </w:pPr>
      <w:rPr>
        <w:rFonts w:hint="default"/>
        <w:lang w:val="en-US" w:eastAsia="en-US" w:bidi="ar-SA"/>
      </w:rPr>
    </w:lvl>
    <w:lvl w:ilvl="5" w:tentative="0">
      <w:start w:val="0"/>
      <w:numFmt w:val="bullet"/>
      <w:lvlText w:val="•"/>
      <w:lvlJc w:val="left"/>
      <w:pPr>
        <w:ind w:left="5329" w:hanging="269"/>
      </w:pPr>
      <w:rPr>
        <w:rFonts w:hint="default"/>
        <w:lang w:val="en-US" w:eastAsia="en-US" w:bidi="ar-SA"/>
      </w:rPr>
    </w:lvl>
    <w:lvl w:ilvl="6" w:tentative="0">
      <w:start w:val="0"/>
      <w:numFmt w:val="bullet"/>
      <w:lvlText w:val="•"/>
      <w:lvlJc w:val="left"/>
      <w:pPr>
        <w:ind w:left="6319" w:hanging="269"/>
      </w:pPr>
      <w:rPr>
        <w:rFonts w:hint="default"/>
        <w:lang w:val="en-US" w:eastAsia="en-US" w:bidi="ar-SA"/>
      </w:rPr>
    </w:lvl>
    <w:lvl w:ilvl="7" w:tentative="0">
      <w:start w:val="0"/>
      <w:numFmt w:val="bullet"/>
      <w:lvlText w:val="•"/>
      <w:lvlJc w:val="left"/>
      <w:pPr>
        <w:ind w:left="7309" w:hanging="269"/>
      </w:pPr>
      <w:rPr>
        <w:rFonts w:hint="default"/>
        <w:lang w:val="en-US" w:eastAsia="en-US" w:bidi="ar-SA"/>
      </w:rPr>
    </w:lvl>
    <w:lvl w:ilvl="8" w:tentative="0">
      <w:start w:val="0"/>
      <w:numFmt w:val="bullet"/>
      <w:lvlText w:val="•"/>
      <w:lvlJc w:val="left"/>
      <w:pPr>
        <w:ind w:left="8299" w:hanging="269"/>
      </w:pPr>
      <w:rPr>
        <w:rFonts w:hint="default"/>
        <w:lang w:val="en-US" w:eastAsia="en-US" w:bidi="ar-SA"/>
      </w:rPr>
    </w:lvl>
  </w:abstractNum>
  <w:abstractNum w:abstractNumId="1">
    <w:nsid w:val="C4F4AD09"/>
    <w:multiLevelType w:val="multilevel"/>
    <w:tmpl w:val="C4F4AD09"/>
    <w:lvl w:ilvl="0" w:tentative="0">
      <w:start w:val="1"/>
      <w:numFmt w:val="lowerLetter"/>
      <w:lvlText w:val="(%1)"/>
      <w:lvlJc w:val="left"/>
      <w:pPr>
        <w:ind w:left="394" w:hanging="281"/>
        <w:jc w:val="left"/>
      </w:pPr>
      <w:rPr>
        <w:rFonts w:hint="default" w:ascii="Times New Roman" w:hAnsi="Times New Roman" w:eastAsia="Times New Roman" w:cs="Times New Roman"/>
        <w:b/>
        <w:bCs/>
        <w:spacing w:val="-2"/>
        <w:w w:val="99"/>
        <w:sz w:val="22"/>
        <w:szCs w:val="22"/>
        <w:lang w:val="en-US" w:eastAsia="en-US" w:bidi="ar-SA"/>
      </w:rPr>
    </w:lvl>
    <w:lvl w:ilvl="1" w:tentative="0">
      <w:start w:val="1"/>
      <w:numFmt w:val="decimal"/>
      <w:lvlText w:val="%2."/>
      <w:lvlJc w:val="left"/>
      <w:pPr>
        <w:ind w:left="833" w:hanging="360"/>
        <w:jc w:val="left"/>
      </w:pPr>
      <w:rPr>
        <w:rFonts w:hint="default" w:ascii="Arial" w:hAnsi="Arial" w:eastAsia="Arial" w:cs="Arial"/>
        <w:spacing w:val="-4"/>
        <w:w w:val="99"/>
        <w:sz w:val="24"/>
        <w:szCs w:val="24"/>
        <w:lang w:val="en-US" w:eastAsia="en-US" w:bidi="ar-SA"/>
      </w:rPr>
    </w:lvl>
    <w:lvl w:ilvl="2" w:tentative="0">
      <w:start w:val="0"/>
      <w:numFmt w:val="bullet"/>
      <w:lvlText w:val="•"/>
      <w:lvlJc w:val="left"/>
      <w:pPr>
        <w:ind w:left="1888" w:hanging="360"/>
      </w:pPr>
      <w:rPr>
        <w:rFonts w:hint="default"/>
        <w:lang w:val="en-US" w:eastAsia="en-US" w:bidi="ar-SA"/>
      </w:rPr>
    </w:lvl>
    <w:lvl w:ilvl="3" w:tentative="0">
      <w:start w:val="0"/>
      <w:numFmt w:val="bullet"/>
      <w:lvlText w:val="•"/>
      <w:lvlJc w:val="left"/>
      <w:pPr>
        <w:ind w:left="2937" w:hanging="360"/>
      </w:pPr>
      <w:rPr>
        <w:rFonts w:hint="default"/>
        <w:lang w:val="en-US" w:eastAsia="en-US" w:bidi="ar-SA"/>
      </w:rPr>
    </w:lvl>
    <w:lvl w:ilvl="4" w:tentative="0">
      <w:start w:val="0"/>
      <w:numFmt w:val="bullet"/>
      <w:lvlText w:val="•"/>
      <w:lvlJc w:val="left"/>
      <w:pPr>
        <w:ind w:left="3986" w:hanging="360"/>
      </w:pPr>
      <w:rPr>
        <w:rFonts w:hint="default"/>
        <w:lang w:val="en-US" w:eastAsia="en-US" w:bidi="ar-SA"/>
      </w:rPr>
    </w:lvl>
    <w:lvl w:ilvl="5" w:tentative="0">
      <w:start w:val="0"/>
      <w:numFmt w:val="bullet"/>
      <w:lvlText w:val="•"/>
      <w:lvlJc w:val="left"/>
      <w:pPr>
        <w:ind w:left="5035" w:hanging="360"/>
      </w:pPr>
      <w:rPr>
        <w:rFonts w:hint="default"/>
        <w:lang w:val="en-US" w:eastAsia="en-US" w:bidi="ar-SA"/>
      </w:rPr>
    </w:lvl>
    <w:lvl w:ilvl="6" w:tentative="0">
      <w:start w:val="0"/>
      <w:numFmt w:val="bullet"/>
      <w:lvlText w:val="•"/>
      <w:lvlJc w:val="left"/>
      <w:pPr>
        <w:ind w:left="6084" w:hanging="360"/>
      </w:pPr>
      <w:rPr>
        <w:rFonts w:hint="default"/>
        <w:lang w:val="en-US" w:eastAsia="en-US" w:bidi="ar-SA"/>
      </w:rPr>
    </w:lvl>
    <w:lvl w:ilvl="7" w:tentative="0">
      <w:start w:val="0"/>
      <w:numFmt w:val="bullet"/>
      <w:lvlText w:val="•"/>
      <w:lvlJc w:val="left"/>
      <w:pPr>
        <w:ind w:left="7132" w:hanging="360"/>
      </w:pPr>
      <w:rPr>
        <w:rFonts w:hint="default"/>
        <w:lang w:val="en-US" w:eastAsia="en-US" w:bidi="ar-SA"/>
      </w:rPr>
    </w:lvl>
    <w:lvl w:ilvl="8" w:tentative="0">
      <w:start w:val="0"/>
      <w:numFmt w:val="bullet"/>
      <w:lvlText w:val="•"/>
      <w:lvlJc w:val="left"/>
      <w:pPr>
        <w:ind w:left="8181" w:hanging="360"/>
      </w:pPr>
      <w:rPr>
        <w:rFonts w:hint="default"/>
        <w:lang w:val="en-US" w:eastAsia="en-US" w:bidi="ar-SA"/>
      </w:rPr>
    </w:lvl>
  </w:abstractNum>
  <w:abstractNum w:abstractNumId="2">
    <w:nsid w:val="F7F96F18"/>
    <w:multiLevelType w:val="multilevel"/>
    <w:tmpl w:val="F7F96F18"/>
    <w:lvl w:ilvl="0" w:tentative="0">
      <w:start w:val="1"/>
      <w:numFmt w:val="upperRoman"/>
      <w:lvlText w:val="%1."/>
      <w:lvlJc w:val="left"/>
      <w:pPr>
        <w:ind w:left="113" w:hanging="233"/>
        <w:jc w:val="left"/>
      </w:pPr>
      <w:rPr>
        <w:rFonts w:hint="default" w:ascii="Times New Roman" w:hAnsi="Times New Roman" w:eastAsia="Times New Roman" w:cs="Times New Roman"/>
        <w:spacing w:val="-30"/>
        <w:w w:val="99"/>
        <w:sz w:val="24"/>
        <w:szCs w:val="24"/>
        <w:lang w:val="en-US" w:eastAsia="en-US" w:bidi="ar-SA"/>
      </w:rPr>
    </w:lvl>
    <w:lvl w:ilvl="1" w:tentative="0">
      <w:start w:val="0"/>
      <w:numFmt w:val="bullet"/>
      <w:lvlText w:val="•"/>
      <w:lvlJc w:val="left"/>
      <w:pPr>
        <w:ind w:left="1135" w:hanging="233"/>
      </w:pPr>
      <w:rPr>
        <w:rFonts w:hint="default"/>
        <w:lang w:val="en-US" w:eastAsia="en-US" w:bidi="ar-SA"/>
      </w:rPr>
    </w:lvl>
    <w:lvl w:ilvl="2" w:tentative="0">
      <w:start w:val="0"/>
      <w:numFmt w:val="bullet"/>
      <w:lvlText w:val="•"/>
      <w:lvlJc w:val="left"/>
      <w:pPr>
        <w:ind w:left="2151" w:hanging="233"/>
      </w:pPr>
      <w:rPr>
        <w:rFonts w:hint="default"/>
        <w:lang w:val="en-US" w:eastAsia="en-US" w:bidi="ar-SA"/>
      </w:rPr>
    </w:lvl>
    <w:lvl w:ilvl="3" w:tentative="0">
      <w:start w:val="0"/>
      <w:numFmt w:val="bullet"/>
      <w:lvlText w:val="•"/>
      <w:lvlJc w:val="left"/>
      <w:pPr>
        <w:ind w:left="3167" w:hanging="233"/>
      </w:pPr>
      <w:rPr>
        <w:rFonts w:hint="default"/>
        <w:lang w:val="en-US" w:eastAsia="en-US" w:bidi="ar-SA"/>
      </w:rPr>
    </w:lvl>
    <w:lvl w:ilvl="4" w:tentative="0">
      <w:start w:val="0"/>
      <w:numFmt w:val="bullet"/>
      <w:lvlText w:val="•"/>
      <w:lvlJc w:val="left"/>
      <w:pPr>
        <w:ind w:left="4183" w:hanging="233"/>
      </w:pPr>
      <w:rPr>
        <w:rFonts w:hint="default"/>
        <w:lang w:val="en-US" w:eastAsia="en-US" w:bidi="ar-SA"/>
      </w:rPr>
    </w:lvl>
    <w:lvl w:ilvl="5" w:tentative="0">
      <w:start w:val="0"/>
      <w:numFmt w:val="bullet"/>
      <w:lvlText w:val="•"/>
      <w:lvlJc w:val="left"/>
      <w:pPr>
        <w:ind w:left="5199" w:hanging="233"/>
      </w:pPr>
      <w:rPr>
        <w:rFonts w:hint="default"/>
        <w:lang w:val="en-US" w:eastAsia="en-US" w:bidi="ar-SA"/>
      </w:rPr>
    </w:lvl>
    <w:lvl w:ilvl="6" w:tentative="0">
      <w:start w:val="0"/>
      <w:numFmt w:val="bullet"/>
      <w:lvlText w:val="•"/>
      <w:lvlJc w:val="left"/>
      <w:pPr>
        <w:ind w:left="6215" w:hanging="233"/>
      </w:pPr>
      <w:rPr>
        <w:rFonts w:hint="default"/>
        <w:lang w:val="en-US" w:eastAsia="en-US" w:bidi="ar-SA"/>
      </w:rPr>
    </w:lvl>
    <w:lvl w:ilvl="7" w:tentative="0">
      <w:start w:val="0"/>
      <w:numFmt w:val="bullet"/>
      <w:lvlText w:val="•"/>
      <w:lvlJc w:val="left"/>
      <w:pPr>
        <w:ind w:left="7231" w:hanging="233"/>
      </w:pPr>
      <w:rPr>
        <w:rFonts w:hint="default"/>
        <w:lang w:val="en-US" w:eastAsia="en-US" w:bidi="ar-SA"/>
      </w:rPr>
    </w:lvl>
    <w:lvl w:ilvl="8" w:tentative="0">
      <w:start w:val="0"/>
      <w:numFmt w:val="bullet"/>
      <w:lvlText w:val="•"/>
      <w:lvlJc w:val="left"/>
      <w:pPr>
        <w:ind w:left="8247" w:hanging="233"/>
      </w:pPr>
      <w:rPr>
        <w:rFonts w:hint="default"/>
        <w:lang w:val="en-US" w:eastAsia="en-US" w:bidi="ar-SA"/>
      </w:rPr>
    </w:lvl>
  </w:abstractNum>
  <w:abstractNum w:abstractNumId="3">
    <w:nsid w:val="7FFA2639"/>
    <w:multiLevelType w:val="multilevel"/>
    <w:tmpl w:val="7FFA2639"/>
    <w:lvl w:ilvl="0" w:tentative="0">
      <w:start w:val="1"/>
      <w:numFmt w:val="decimal"/>
      <w:lvlText w:val="%1."/>
      <w:lvlJc w:val="left"/>
      <w:pPr>
        <w:ind w:left="379" w:hanging="267"/>
        <w:jc w:val="left"/>
      </w:pPr>
      <w:rPr>
        <w:rFonts w:hint="default" w:ascii="Arial" w:hAnsi="Arial" w:eastAsia="Arial" w:cs="Arial"/>
        <w:w w:val="100"/>
        <w:sz w:val="24"/>
        <w:szCs w:val="24"/>
        <w:lang w:val="en-US" w:eastAsia="en-US" w:bidi="ar-SA"/>
      </w:rPr>
    </w:lvl>
    <w:lvl w:ilvl="1" w:tentative="0">
      <w:start w:val="0"/>
      <w:numFmt w:val="bullet"/>
      <w:lvlText w:val="•"/>
      <w:lvlJc w:val="left"/>
      <w:pPr>
        <w:ind w:left="1369" w:hanging="267"/>
      </w:pPr>
      <w:rPr>
        <w:rFonts w:hint="default"/>
        <w:lang w:val="en-US" w:eastAsia="en-US" w:bidi="ar-SA"/>
      </w:rPr>
    </w:lvl>
    <w:lvl w:ilvl="2" w:tentative="0">
      <w:start w:val="0"/>
      <w:numFmt w:val="bullet"/>
      <w:lvlText w:val="•"/>
      <w:lvlJc w:val="left"/>
      <w:pPr>
        <w:ind w:left="2359" w:hanging="267"/>
      </w:pPr>
      <w:rPr>
        <w:rFonts w:hint="default"/>
        <w:lang w:val="en-US" w:eastAsia="en-US" w:bidi="ar-SA"/>
      </w:rPr>
    </w:lvl>
    <w:lvl w:ilvl="3" w:tentative="0">
      <w:start w:val="0"/>
      <w:numFmt w:val="bullet"/>
      <w:lvlText w:val="•"/>
      <w:lvlJc w:val="left"/>
      <w:pPr>
        <w:ind w:left="3349" w:hanging="267"/>
      </w:pPr>
      <w:rPr>
        <w:rFonts w:hint="default"/>
        <w:lang w:val="en-US" w:eastAsia="en-US" w:bidi="ar-SA"/>
      </w:rPr>
    </w:lvl>
    <w:lvl w:ilvl="4" w:tentative="0">
      <w:start w:val="0"/>
      <w:numFmt w:val="bullet"/>
      <w:lvlText w:val="•"/>
      <w:lvlJc w:val="left"/>
      <w:pPr>
        <w:ind w:left="4339" w:hanging="267"/>
      </w:pPr>
      <w:rPr>
        <w:rFonts w:hint="default"/>
        <w:lang w:val="en-US" w:eastAsia="en-US" w:bidi="ar-SA"/>
      </w:rPr>
    </w:lvl>
    <w:lvl w:ilvl="5" w:tentative="0">
      <w:start w:val="0"/>
      <w:numFmt w:val="bullet"/>
      <w:lvlText w:val="•"/>
      <w:lvlJc w:val="left"/>
      <w:pPr>
        <w:ind w:left="5329" w:hanging="267"/>
      </w:pPr>
      <w:rPr>
        <w:rFonts w:hint="default"/>
        <w:lang w:val="en-US" w:eastAsia="en-US" w:bidi="ar-SA"/>
      </w:rPr>
    </w:lvl>
    <w:lvl w:ilvl="6" w:tentative="0">
      <w:start w:val="0"/>
      <w:numFmt w:val="bullet"/>
      <w:lvlText w:val="•"/>
      <w:lvlJc w:val="left"/>
      <w:pPr>
        <w:ind w:left="6319" w:hanging="267"/>
      </w:pPr>
      <w:rPr>
        <w:rFonts w:hint="default"/>
        <w:lang w:val="en-US" w:eastAsia="en-US" w:bidi="ar-SA"/>
      </w:rPr>
    </w:lvl>
    <w:lvl w:ilvl="7" w:tentative="0">
      <w:start w:val="0"/>
      <w:numFmt w:val="bullet"/>
      <w:lvlText w:val="•"/>
      <w:lvlJc w:val="left"/>
      <w:pPr>
        <w:ind w:left="7309" w:hanging="267"/>
      </w:pPr>
      <w:rPr>
        <w:rFonts w:hint="default"/>
        <w:lang w:val="en-US" w:eastAsia="en-US" w:bidi="ar-SA"/>
      </w:rPr>
    </w:lvl>
    <w:lvl w:ilvl="8" w:tentative="0">
      <w:start w:val="0"/>
      <w:numFmt w:val="bullet"/>
      <w:lvlText w:val="•"/>
      <w:lvlJc w:val="left"/>
      <w:pPr>
        <w:ind w:left="8299" w:hanging="267"/>
      </w:pPr>
      <w:rPr>
        <w:rFonts w:hint="default"/>
        <w:lang w:val="en-US"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ED41A6"/>
    <w:rsid w:val="4DFBEE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ar-SA"/>
    </w:rPr>
  </w:style>
  <w:style w:type="paragraph" w:styleId="2">
    <w:name w:val="heading 1"/>
    <w:basedOn w:val="1"/>
    <w:next w:val="1"/>
    <w:qFormat/>
    <w:uiPriority w:val="1"/>
    <w:pPr>
      <w:ind w:left="113"/>
      <w:outlineLvl w:val="1"/>
    </w:pPr>
    <w:rPr>
      <w:rFonts w:ascii="Arial" w:hAnsi="Arial" w:eastAsia="Arial" w:cs="Arial"/>
      <w:b/>
      <w:bCs/>
      <w:sz w:val="24"/>
      <w:szCs w:val="24"/>
      <w:lang w:val="en-US" w:eastAsia="en-US" w:bidi="ar-SA"/>
    </w:rPr>
  </w:style>
  <w:style w:type="paragraph" w:styleId="3">
    <w:name w:val="heading 2"/>
    <w:basedOn w:val="1"/>
    <w:next w:val="1"/>
    <w:qFormat/>
    <w:uiPriority w:val="1"/>
    <w:pPr>
      <w:spacing w:before="80"/>
      <w:ind w:left="113"/>
      <w:outlineLvl w:val="2"/>
    </w:pPr>
    <w:rPr>
      <w:rFonts w:ascii="Arial" w:hAnsi="Arial" w:eastAsia="Arial" w:cs="Arial"/>
      <w:b/>
      <w:bCs/>
      <w:i/>
      <w:sz w:val="24"/>
      <w:szCs w:val="24"/>
      <w:lang w:val="en-US" w:eastAsia="en-US" w:bidi="ar-SA"/>
    </w:rPr>
  </w:style>
  <w:style w:type="character" w:default="1" w:styleId="4">
    <w:name w:val="Default Paragraph Font"/>
    <w:semiHidden/>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1"/>
    <w:rPr>
      <w:rFonts w:ascii="Arial" w:hAnsi="Arial" w:eastAsia="Arial" w:cs="Arial"/>
      <w:sz w:val="24"/>
      <w:szCs w:val="24"/>
      <w:lang w:val="en-US" w:eastAsia="en-US" w:bidi="ar-SA"/>
    </w:rPr>
  </w:style>
  <w:style w:type="table" w:customStyle="1" w:styleId="7">
    <w:name w:val="Table Normal1"/>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379" w:hanging="267"/>
    </w:pPr>
    <w:rPr>
      <w:rFonts w:ascii="Times New Roman" w:hAnsi="Times New Roman" w:eastAsia="Times New Roman" w:cs="Times New Roman"/>
      <w:lang w:val="en-US" w:eastAsia="en-US" w:bidi="ar-SA"/>
    </w:rPr>
  </w:style>
  <w:style w:type="paragraph" w:customStyle="1" w:styleId="9">
    <w:name w:val="Table Paragraph"/>
    <w:basedOn w:val="1"/>
    <w:qFormat/>
    <w:uiPriority w:val="1"/>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2022-03-02T13:09:00Z</dcterms:created>
  <dc:creator>Sandeep Chakravorty</dc:creator>
  <cp:lastModifiedBy>rajeshojha</cp:lastModifiedBy>
  <dcterms:modified xsi:type="dcterms:W3CDTF">2022-03-02T13:10:06Z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Microsoft® Word 2016</vt:lpwstr>
  </property>
  <property fmtid="{D5CDD505-2E9C-101B-9397-08002B2CF9AE}" pid="4" name="LastSaved">
    <vt:filetime>2022-03-02T00:00:00Z</vt:filetime>
  </property>
  <property fmtid="{D5CDD505-2E9C-101B-9397-08002B2CF9AE}" pid="5" name="KSOProductBuildVer">
    <vt:lpwstr>1033-11.1.0.9080</vt:lpwstr>
  </property>
</Properties>
</file>