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28"/>
        <w:jc w:val="right"/>
        <w:rPr>
          <w:lang w:val="en-AU"/>
        </w:rPr>
      </w:pPr>
    </w:p>
    <w:p>
      <w:pPr>
        <w:pStyle w:val="3"/>
        <w:ind w:left="0"/>
        <w:rPr>
          <w:sz w:val="16"/>
          <w:lang w:val="en-AU"/>
        </w:rPr>
      </w:pPr>
    </w:p>
    <w:p>
      <w:pPr>
        <w:pStyle w:val="3"/>
        <w:ind w:left="0"/>
        <w:jc w:val="both"/>
        <w:rPr>
          <w:color w:val="000000" w:themeColor="text1"/>
          <w14:textFill>
            <w14:solidFill>
              <w14:schemeClr w14:val="tx1"/>
            </w14:solidFill>
          </w14:textFill>
        </w:rPr>
      </w:pPr>
      <w:r>
        <w:rPr>
          <w:rFonts w:cs="Arial"/>
          <w:color w:val="000000" w:themeColor="text1"/>
          <w:szCs w:val="24"/>
          <w14:textFill>
            <w14:solidFill>
              <w14:schemeClr w14:val="tx1"/>
            </w14:solidFill>
          </w14:textFill>
        </w:rPr>
        <w:t>Name of Institute: INDUS UNIVERSITY- IISHLS (</w:t>
      </w:r>
      <w:r>
        <w:rPr>
          <w:color w:val="000000" w:themeColor="text1"/>
          <w14:textFill>
            <w14:solidFill>
              <w14:schemeClr w14:val="tx1"/>
            </w14:solidFill>
          </w14:textFill>
        </w:rPr>
        <w:t>Institute of science Humanities and liberal studies)</w:t>
      </w:r>
    </w:p>
    <w:p>
      <w:pPr>
        <w:pStyle w:val="3"/>
        <w:ind w:left="0"/>
        <w:jc w:val="both"/>
        <w:rPr>
          <w:rFonts w:hint="default" w:cs="Arial"/>
          <w:color w:val="000000" w:themeColor="text1"/>
          <w:szCs w:val="24"/>
          <w:lang w:val="en"/>
          <w14:textFill>
            <w14:solidFill>
              <w14:schemeClr w14:val="tx1"/>
            </w14:solidFill>
          </w14:textFill>
        </w:rPr>
      </w:pPr>
      <w:r>
        <w:rPr>
          <w:rFonts w:cs="Arial"/>
          <w:color w:val="000000" w:themeColor="text1"/>
          <w:szCs w:val="24"/>
          <w14:textFill>
            <w14:solidFill>
              <w14:schemeClr w14:val="tx1"/>
            </w14:solidFill>
          </w14:textFill>
        </w:rPr>
        <w:t xml:space="preserve">Name of Faculty: Dr. </w:t>
      </w:r>
      <w:r>
        <w:rPr>
          <w:rFonts w:hint="default" w:cs="Arial"/>
          <w:color w:val="000000" w:themeColor="text1"/>
          <w:szCs w:val="24"/>
          <w:lang w:val="en"/>
          <w14:textFill>
            <w14:solidFill>
              <w14:schemeClr w14:val="tx1"/>
            </w14:solidFill>
          </w14:textFill>
        </w:rPr>
        <w:t>Mayur Savaliya</w:t>
      </w:r>
    </w:p>
    <w:p/>
    <w:p>
      <w:pPr>
        <w:autoSpaceDE w:val="0"/>
        <w:autoSpaceDN w:val="0"/>
        <w:adjustRightInd w:val="0"/>
        <w:spacing w:after="120" w:line="240" w:lineRule="auto"/>
        <w:rPr>
          <w:rFonts w:ascii="Times New Roman" w:hAnsi="Times New Roman" w:eastAsia="Times New Roman"/>
          <w:b/>
          <w:bCs w:val="0"/>
          <w:color w:val="000000"/>
          <w:sz w:val="22"/>
          <w:szCs w:val="22"/>
        </w:rPr>
      </w:pPr>
      <w:r>
        <w:rPr>
          <w:rFonts w:ascii="Times New Roman" w:hAnsi="Times New Roman" w:eastAsia="Times New Roman"/>
          <w:b/>
          <w:bCs w:val="0"/>
          <w:color w:val="000000"/>
          <w:sz w:val="22"/>
          <w:szCs w:val="22"/>
        </w:rPr>
        <w:t>Healthcare Administration</w:t>
      </w:r>
    </w:p>
    <w:p>
      <w:pPr>
        <w:autoSpaceDE w:val="0"/>
        <w:autoSpaceDN w:val="0"/>
        <w:adjustRightInd w:val="0"/>
        <w:spacing w:after="120" w:line="240" w:lineRule="auto"/>
        <w:rPr>
          <w:rFonts w:ascii="Arial" w:hAnsi="Arial" w:cs="Arial"/>
          <w:color w:val="000000" w:themeColor="text1"/>
          <w:lang w:val="en-AU"/>
          <w14:textFill>
            <w14:solidFill>
              <w14:schemeClr w14:val="tx1"/>
            </w14:solidFill>
          </w14:textFill>
        </w:rPr>
      </w:pPr>
      <w:r>
        <w:rPr>
          <w:rFonts w:ascii="Arial" w:hAnsi="Arial" w:cs="Arial"/>
          <w:color w:val="0033CC"/>
          <w:lang w:val="en-AU"/>
        </w:rPr>
        <w:t>Course code:</w:t>
      </w:r>
      <w:r>
        <w:rPr>
          <w:sz w:val="20"/>
          <w:szCs w:val="20"/>
        </w:rPr>
        <w:t xml:space="preserve"> </w:t>
      </w:r>
      <w:r>
        <w:rPr>
          <w:rFonts w:ascii="Times New Roman" w:hAnsi="Times New Roman"/>
          <w:b/>
          <w:color w:val="000000"/>
          <w:sz w:val="21"/>
          <w:szCs w:val="21"/>
          <w:lang w:eastAsia="en-US"/>
        </w:rPr>
        <w:t>UCR0505</w:t>
      </w:r>
    </w:p>
    <w:p>
      <w:pPr>
        <w:rPr>
          <w:rFonts w:hint="default" w:ascii="Arial" w:hAnsi="Arial" w:cs="Arial"/>
          <w:b w:val="0"/>
          <w:bCs/>
          <w:color w:val="0033CC"/>
          <w:lang w:val="en"/>
        </w:rPr>
      </w:pPr>
      <w:r>
        <w:rPr>
          <w:rFonts w:ascii="Arial" w:hAnsi="Arial" w:cs="Arial"/>
          <w:color w:val="0033CC"/>
          <w:lang w:val="en-AU"/>
        </w:rPr>
        <w:t>Course name:</w:t>
      </w:r>
      <w:r>
        <w:rPr>
          <w:b/>
          <w:color w:val="000000"/>
          <w:sz w:val="20"/>
          <w:szCs w:val="20"/>
          <w:lang w:eastAsia="en-IN"/>
        </w:rPr>
        <w:t xml:space="preserve"> </w:t>
      </w:r>
      <w:r>
        <w:rPr>
          <w:rFonts w:hint="default"/>
          <w:b/>
          <w:color w:val="000000"/>
          <w:sz w:val="20"/>
          <w:szCs w:val="20"/>
          <w:lang w:val="en" w:eastAsia="en-IN"/>
        </w:rPr>
        <w:t>B</w:t>
      </w:r>
      <w:r>
        <w:rPr>
          <w:b/>
          <w:bCs w:val="0"/>
          <w:color w:val="000000"/>
          <w:sz w:val="20"/>
          <w:szCs w:val="20"/>
          <w:lang w:eastAsia="en-IN"/>
        </w:rPr>
        <w:t>.SC</w:t>
      </w:r>
      <w:r>
        <w:rPr>
          <w:b w:val="0"/>
          <w:bCs/>
          <w:color w:val="000000"/>
          <w:sz w:val="20"/>
          <w:szCs w:val="20"/>
          <w:lang w:eastAsia="en-IN"/>
        </w:rPr>
        <w:t xml:space="preserve"> CLINICAL RESEARCH </w:t>
      </w:r>
      <w:r>
        <w:rPr>
          <w:rFonts w:hint="default"/>
          <w:b w:val="0"/>
          <w:bCs/>
          <w:color w:val="000000"/>
          <w:sz w:val="20"/>
          <w:szCs w:val="20"/>
          <w:lang w:val="en" w:eastAsia="en-IN"/>
        </w:rPr>
        <w:t>AND HEALTHCARE MANAGEMENT</w:t>
      </w:r>
    </w:p>
    <w:p>
      <w:pPr>
        <w:rPr>
          <w:rFonts w:ascii="Arial" w:hAnsi="Arial" w:cs="Arial"/>
          <w:lang w:val="en-AU"/>
        </w:rPr>
      </w:pPr>
      <w:r>
        <w:rPr>
          <w:rFonts w:ascii="Arial" w:hAnsi="Arial" w:cs="Arial"/>
          <w:lang w:val="en-AU"/>
        </w:rPr>
        <w:t>Pre-requisites:  Basic understanding and knowledge of clinical research</w:t>
      </w:r>
    </w:p>
    <w:p>
      <w:pPr>
        <w:rPr>
          <w:rFonts w:ascii="Arial" w:hAnsi="Arial" w:cs="Arial"/>
          <w:lang w:val="en-AU"/>
        </w:rPr>
      </w:pPr>
      <w:r>
        <w:rPr>
          <w:rFonts w:ascii="Arial" w:hAnsi="Arial" w:cs="Arial"/>
          <w:lang w:val="en-AU"/>
        </w:rPr>
        <w:t xml:space="preserve">Credit points: </w:t>
      </w:r>
      <w:r>
        <w:rPr>
          <w:rFonts w:hint="default" w:ascii="Arial" w:hAnsi="Arial" w:cs="Arial"/>
          <w:lang w:val="en"/>
        </w:rPr>
        <w:t>3</w:t>
      </w:r>
      <w:r>
        <w:rPr>
          <w:rFonts w:ascii="Arial" w:hAnsi="Arial" w:cs="Arial"/>
          <w:lang w:val="en-AU"/>
        </w:rPr>
        <w:t xml:space="preserve"> credits</w:t>
      </w:r>
    </w:p>
    <w:p>
      <w:pPr>
        <w:rPr>
          <w:rFonts w:ascii="Arial" w:hAnsi="Arial" w:cs="Arial"/>
          <w:lang w:val="en-AU"/>
        </w:rPr>
      </w:pPr>
      <w:r>
        <w:rPr>
          <w:rFonts w:ascii="Arial" w:hAnsi="Arial" w:cs="Arial"/>
          <w:lang w:val="en-AU"/>
        </w:rPr>
        <w:t xml:space="preserve">Offered Semester: </w:t>
      </w:r>
    </w:p>
    <w:p>
      <w:pPr>
        <w:rPr>
          <w:rFonts w:ascii="Arial" w:hAnsi="Arial" w:cs="Arial"/>
          <w:lang w:val="en-AU"/>
        </w:rPr>
      </w:pPr>
    </w:p>
    <w:p>
      <w:pPr>
        <w:rPr>
          <w:rFonts w:ascii="Arial" w:hAnsi="Arial" w:cs="Arial"/>
          <w:b/>
          <w:lang w:val="en-AU"/>
        </w:rPr>
      </w:pPr>
      <w:r>
        <w:rPr>
          <w:rFonts w:ascii="Arial" w:hAnsi="Arial" w:cs="Arial"/>
          <w:b/>
          <w:lang w:val="en-AU"/>
        </w:rPr>
        <w:t>Course Coordinator</w:t>
      </w:r>
    </w:p>
    <w:p>
      <w:pPr>
        <w:rPr>
          <w:rFonts w:hint="default" w:ascii="Arial" w:hAnsi="Arial" w:cs="Arial"/>
          <w:lang w:val="en"/>
        </w:rPr>
      </w:pPr>
      <w:r>
        <w:rPr>
          <w:rFonts w:ascii="Arial" w:hAnsi="Arial" w:cs="Arial"/>
          <w:lang w:val="en-AU"/>
        </w:rPr>
        <w:t>Full Name:</w:t>
      </w:r>
      <w:r>
        <w:rPr>
          <w:rFonts w:cs="Arial"/>
          <w:color w:val="000000" w:themeColor="text1"/>
          <w14:textFill>
            <w14:solidFill>
              <w14:schemeClr w14:val="tx1"/>
            </w14:solidFill>
          </w14:textFill>
        </w:rPr>
        <w:t xml:space="preserve">Dr. </w:t>
      </w:r>
      <w:r>
        <w:rPr>
          <w:rFonts w:hint="default" w:cs="Arial"/>
          <w:color w:val="000000" w:themeColor="text1"/>
          <w:lang w:val="en"/>
          <w14:textFill>
            <w14:solidFill>
              <w14:schemeClr w14:val="tx1"/>
            </w14:solidFill>
          </w14:textFill>
        </w:rPr>
        <w:t>Mayur Savaliya</w:t>
      </w:r>
    </w:p>
    <w:p>
      <w:pPr>
        <w:tabs>
          <w:tab w:val="right" w:pos="9600"/>
        </w:tabs>
        <w:rPr>
          <w:rFonts w:ascii="Arial" w:hAnsi="Arial" w:cs="Arial"/>
          <w:lang w:val="en-AU"/>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 xml:space="preserve">floor Bhawar building, </w:t>
      </w:r>
      <w:r>
        <w:rPr>
          <w:rFonts w:hint="default" w:ascii="Arial" w:hAnsi="Arial" w:cs="Arial"/>
          <w:lang w:val="en"/>
        </w:rPr>
        <w:t>Staff Room</w:t>
      </w:r>
    </w:p>
    <w:p>
      <w:pPr>
        <w:tabs>
          <w:tab w:val="right" w:pos="9600"/>
        </w:tabs>
        <w:rPr>
          <w:rFonts w:ascii="Arial" w:hAnsi="Arial" w:cs="Arial"/>
          <w:lang w:val="en-AU"/>
        </w:rPr>
      </w:pPr>
      <w:r>
        <w:rPr>
          <w:rFonts w:ascii="Arial" w:hAnsi="Arial" w:cs="Arial"/>
          <w:lang w:val="en-AU"/>
        </w:rPr>
        <w:t xml:space="preserve">Telephone: </w:t>
      </w:r>
      <w:r>
        <w:rPr>
          <w:rFonts w:hint="default" w:ascii="Arial" w:hAnsi="Arial" w:cs="Arial"/>
          <w:lang w:val="en"/>
        </w:rPr>
        <w:t>8156071033</w:t>
      </w:r>
      <w:r>
        <w:rPr>
          <w:rFonts w:ascii="Arial" w:hAnsi="Arial" w:cs="Arial"/>
          <w:lang w:val="en-AU"/>
        </w:rPr>
        <w:tab/>
      </w:r>
    </w:p>
    <w:p>
      <w:pPr>
        <w:pStyle w:val="3"/>
        <w:shd w:val="clear" w:color="auto" w:fill="FFFFFF"/>
        <w:spacing w:line="300" w:lineRule="atLeast"/>
        <w:ind w:left="0"/>
        <w:rPr>
          <w:rFonts w:hint="default" w:cs="Arial"/>
          <w:b w:val="0"/>
          <w:color w:val="5F6368"/>
          <w:spacing w:val="5"/>
          <w:szCs w:val="24"/>
          <w:lang w:val="en"/>
        </w:rPr>
      </w:pPr>
      <w:r>
        <w:rPr>
          <w:rFonts w:cs="Arial"/>
          <w:b w:val="0"/>
          <w:szCs w:val="24"/>
          <w:lang w:val="en-AU"/>
        </w:rPr>
        <w:t>Email:</w:t>
      </w:r>
      <w:r>
        <w:rPr>
          <w:rStyle w:val="16"/>
          <w:rFonts w:hint="default" w:cs="Arial"/>
          <w:b w:val="0"/>
          <w:color w:val="555555"/>
          <w:spacing w:val="5"/>
          <w:szCs w:val="24"/>
          <w:u w:val="none"/>
          <w:lang w:val="en"/>
        </w:rPr>
        <w:t>mayursavaliya.cr@indusuni.ac.in</w:t>
      </w:r>
    </w:p>
    <w:p>
      <w:pPr>
        <w:tabs>
          <w:tab w:val="right" w:pos="9600"/>
        </w:tabs>
        <w:rPr>
          <w:rFonts w:ascii="Arial" w:hAnsi="Arial" w:cs="Arial"/>
          <w:lang w:val="en-AU"/>
        </w:rPr>
      </w:pPr>
      <w:r>
        <w:rPr>
          <w:rFonts w:ascii="Arial" w:hAnsi="Arial" w:cs="Arial"/>
          <w:lang w:val="en-AU"/>
        </w:rPr>
        <w:t>Consultation times:Monday to Friday 3 to 4 pm</w:t>
      </w:r>
      <w:r>
        <w:rPr>
          <w:rFonts w:ascii="Arial" w:hAnsi="Arial" w:cs="Arial"/>
          <w:lang w:val="en-AU"/>
        </w:rPr>
        <w:tab/>
      </w:r>
    </w:p>
    <w:p>
      <w:pPr>
        <w:rPr>
          <w:rFonts w:ascii="Arial" w:hAnsi="Arial" w:cs="Arial"/>
          <w:b/>
          <w:lang w:val="en-AU"/>
        </w:rPr>
      </w:pPr>
    </w:p>
    <w:p>
      <w:pPr>
        <w:rPr>
          <w:rFonts w:ascii="Arial" w:hAnsi="Arial" w:cs="Arial"/>
          <w:b/>
          <w:lang w:val="en-AU"/>
        </w:rPr>
      </w:pPr>
    </w:p>
    <w:p>
      <w:pPr>
        <w:rPr>
          <w:rFonts w:ascii="Arial" w:hAnsi="Arial" w:cs="Arial"/>
          <w:b/>
          <w:lang w:val="en-AU"/>
        </w:rPr>
      </w:pPr>
      <w:r>
        <w:rPr>
          <w:rFonts w:ascii="Arial" w:hAnsi="Arial" w:cs="Arial"/>
          <w:b/>
          <w:lang w:val="en-AU"/>
        </w:rPr>
        <w:t>Course Lecturer</w:t>
      </w:r>
    </w:p>
    <w:p>
      <w:pPr>
        <w:tabs>
          <w:tab w:val="right" w:pos="9600"/>
        </w:tabs>
        <w:rPr>
          <w:rFonts w:ascii="Arial" w:hAnsi="Arial" w:cs="Arial"/>
          <w:lang w:val="en-AU"/>
        </w:rPr>
      </w:pPr>
      <w:r>
        <w:rPr>
          <w:rFonts w:ascii="Arial" w:hAnsi="Arial" w:cs="Arial"/>
          <w:lang w:val="en-AU"/>
        </w:rPr>
        <w:t>Full name:</w:t>
      </w:r>
      <w:r>
        <w:rPr>
          <w:rFonts w:cs="Arial"/>
          <w:color w:val="000000" w:themeColor="text1"/>
          <w14:textFill>
            <w14:solidFill>
              <w14:schemeClr w14:val="tx1"/>
            </w14:solidFill>
          </w14:textFill>
        </w:rPr>
        <w:t xml:space="preserve">Dr. </w:t>
      </w:r>
      <w:r>
        <w:rPr>
          <w:rFonts w:hint="default" w:cs="Arial"/>
          <w:color w:val="000000" w:themeColor="text1"/>
          <w:lang w:val="en"/>
          <w14:textFill>
            <w14:solidFill>
              <w14:schemeClr w14:val="tx1"/>
            </w14:solidFill>
          </w14:textFill>
        </w:rPr>
        <w:t>Mayur Savaliya</w:t>
      </w:r>
    </w:p>
    <w:p>
      <w:pPr>
        <w:tabs>
          <w:tab w:val="right" w:pos="9600"/>
        </w:tabs>
        <w:rPr>
          <w:rFonts w:hint="default" w:ascii="Arial" w:hAnsi="Arial" w:cs="Arial"/>
          <w:lang w:val="en"/>
        </w:rPr>
      </w:pPr>
      <w:r>
        <w:rPr>
          <w:rFonts w:ascii="Arial" w:hAnsi="Arial" w:cs="Arial"/>
          <w:lang w:val="en-AU"/>
        </w:rPr>
        <w:t>Department with siting location: 4</w:t>
      </w:r>
      <w:r>
        <w:rPr>
          <w:rFonts w:ascii="Arial" w:hAnsi="Arial" w:cs="Arial"/>
          <w:vertAlign w:val="superscript"/>
          <w:lang w:val="en-AU"/>
        </w:rPr>
        <w:t>th</w:t>
      </w:r>
      <w:r>
        <w:rPr>
          <w:rFonts w:ascii="Arial" w:hAnsi="Arial" w:cs="Arial"/>
          <w:lang w:val="en-AU"/>
        </w:rPr>
        <w:t>floor Bhawar building</w:t>
      </w:r>
      <w:r>
        <w:rPr>
          <w:rFonts w:hint="default" w:ascii="Arial" w:hAnsi="Arial" w:cs="Arial"/>
          <w:lang w:val="en"/>
        </w:rPr>
        <w:t>, Staff Room</w:t>
      </w:r>
    </w:p>
    <w:p>
      <w:pPr>
        <w:tabs>
          <w:tab w:val="right" w:pos="9498"/>
        </w:tabs>
        <w:rPr>
          <w:rFonts w:ascii="Arial" w:hAnsi="Arial" w:cs="Arial"/>
          <w:lang w:val="en-AU"/>
        </w:rPr>
      </w:pPr>
      <w:r>
        <w:rPr>
          <w:rFonts w:ascii="Arial" w:hAnsi="Arial" w:cs="Arial"/>
          <w:lang w:val="en-AU"/>
        </w:rPr>
        <w:t xml:space="preserve">Telephone: </w:t>
      </w:r>
      <w:r>
        <w:rPr>
          <w:rFonts w:hint="default" w:ascii="Arial" w:hAnsi="Arial" w:cs="Arial"/>
          <w:lang w:val="en"/>
        </w:rPr>
        <w:t>8156071033</w:t>
      </w:r>
      <w:r>
        <w:rPr>
          <w:rFonts w:ascii="Arial" w:hAnsi="Arial" w:cs="Arial"/>
          <w:lang w:val="en-AU"/>
        </w:rPr>
        <w:tab/>
      </w:r>
    </w:p>
    <w:p>
      <w:pPr>
        <w:rPr>
          <w:rFonts w:ascii="Arial" w:hAnsi="Arial" w:cs="Arial"/>
        </w:rPr>
      </w:pPr>
      <w:r>
        <w:rPr>
          <w:rFonts w:ascii="Arial" w:hAnsi="Arial" w:cs="Arial"/>
          <w:lang w:val="en-AU"/>
        </w:rPr>
        <w:t>Email:</w:t>
      </w:r>
      <w:r>
        <w:rPr>
          <w:rStyle w:val="16"/>
          <w:rFonts w:hint="default" w:cs="Arial"/>
          <w:b w:val="0"/>
          <w:color w:val="555555"/>
          <w:spacing w:val="5"/>
          <w:szCs w:val="24"/>
          <w:u w:val="none"/>
          <w:lang w:val="en"/>
        </w:rPr>
        <w:t>mayursavaliya.cr@indusuni.ac.in</w:t>
      </w:r>
    </w:p>
    <w:p>
      <w:pPr>
        <w:tabs>
          <w:tab w:val="right" w:pos="9498"/>
        </w:tabs>
        <w:rPr>
          <w:rFonts w:ascii="Arial" w:hAnsi="Arial" w:cs="Arial"/>
          <w:lang w:val="en-AU"/>
        </w:rPr>
      </w:pPr>
      <w:r>
        <w:rPr>
          <w:rFonts w:ascii="Arial" w:hAnsi="Arial" w:cs="Arial"/>
          <w:lang w:val="en-AU"/>
        </w:rPr>
        <w:t>Consultation times: Monday to Friday 3 to 4 pm</w:t>
      </w:r>
      <w:r>
        <w:rPr>
          <w:rFonts w:ascii="Arial" w:hAnsi="Arial" w:cs="Arial"/>
          <w:lang w:val="en-AU"/>
        </w:rPr>
        <w:tab/>
      </w:r>
    </w:p>
    <w:p>
      <w:pPr>
        <w:tabs>
          <w:tab w:val="right" w:pos="9498"/>
        </w:tabs>
        <w:rPr>
          <w:rFonts w:ascii="Arial" w:hAnsi="Arial" w:cs="Arial"/>
          <w:lang w:val="en-AU"/>
        </w:rPr>
      </w:pPr>
      <w:r>
        <w:rPr>
          <w:rFonts w:ascii="Arial" w:hAnsi="Arial" w:cs="Arial"/>
          <w:lang w:val="en-AU"/>
        </w:rPr>
        <w:tab/>
      </w:r>
    </w:p>
    <w:p>
      <w:pPr>
        <w:jc w:val="both"/>
        <w:rPr>
          <w:rFonts w:ascii="Arial" w:hAnsi="Arial" w:cs="Arial"/>
          <w:lang w:val="en-AU"/>
        </w:rPr>
      </w:pPr>
      <w:r>
        <w:rPr>
          <w:rFonts w:ascii="Arial" w:hAnsi="Arial" w:cs="Arial"/>
          <w:lang w:val="en-AU"/>
        </w:rPr>
        <w:t xml:space="preserve">Students will be contacted throughout the Session via Mail with important information relating to this Course. </w:t>
      </w:r>
    </w:p>
    <w:p>
      <w:pPr>
        <w:pStyle w:val="2"/>
        <w:rPr>
          <w:rFonts w:ascii="Arial" w:hAnsi="Arial" w:cs="Arial"/>
          <w:sz w:val="24"/>
          <w:szCs w:val="24"/>
          <w:lang w:val="en-AU"/>
        </w:rPr>
      </w:pPr>
      <w:r>
        <w:rPr>
          <w:rFonts w:ascii="Arial" w:hAnsi="Arial" w:cs="Arial"/>
          <w:sz w:val="24"/>
          <w:szCs w:val="24"/>
          <w:lang w:val="en-AU"/>
        </w:rPr>
        <w:t>Course Objectives</w:t>
      </w:r>
    </w:p>
    <w:p>
      <w:pPr>
        <w:pStyle w:val="22"/>
        <w:numPr>
          <w:ilvl w:val="0"/>
          <w:numId w:val="1"/>
        </w:numPr>
        <w:spacing w:after="0"/>
        <w:rPr>
          <w:rFonts w:hint="default" w:ascii="Times New Roman" w:hAnsi="Times New Roman"/>
          <w:color w:val="000000"/>
          <w:sz w:val="22"/>
          <w:szCs w:val="22"/>
          <w:lang w:val="en-US"/>
        </w:rPr>
      </w:pPr>
      <w:r>
        <w:rPr>
          <w:rFonts w:ascii="Arial" w:hAnsi="Arial" w:cs="Arial"/>
          <w:lang w:val="en-AU"/>
        </w:rPr>
        <w:t>By participating in and understanding all facets of this Course a student will</w:t>
      </w:r>
      <w:r>
        <w:rPr>
          <w:rFonts w:hint="default" w:ascii="Arial" w:hAnsi="Arial" w:cs="Arial"/>
          <w:lang w:val="en"/>
        </w:rPr>
        <w:t xml:space="preserve"> </w:t>
      </w:r>
      <w:r>
        <w:rPr>
          <w:rFonts w:ascii="Times New Roman" w:hAnsi="Times New Roman"/>
          <w:sz w:val="24"/>
          <w:szCs w:val="24"/>
        </w:rPr>
        <w:t>understand</w:t>
      </w:r>
      <w:r>
        <w:rPr>
          <w:rFonts w:ascii="Times New Roman" w:hAnsi="Times New Roman"/>
          <w:b/>
          <w:bCs/>
          <w:color w:val="000000"/>
          <w:sz w:val="22"/>
          <w:szCs w:val="22"/>
        </w:rPr>
        <w:t xml:space="preserve"> </w:t>
      </w:r>
      <w:r>
        <w:rPr>
          <w:rFonts w:hint="default" w:ascii="Times New Roman" w:hAnsi="Times New Roman"/>
          <w:b w:val="0"/>
          <w:bCs w:val="0"/>
          <w:color w:val="000000"/>
          <w:sz w:val="24"/>
          <w:szCs w:val="24"/>
          <w:lang w:val="en"/>
        </w:rPr>
        <w:t>healthcare administration.</w:t>
      </w:r>
    </w:p>
    <w:p>
      <w:pPr>
        <w:ind w:left="567" w:firstLine="0" w:firstLineChars="0"/>
        <w:jc w:val="both"/>
        <w:rPr>
          <w:rFonts w:ascii="Times New Roman" w:hAnsi="Times New Roman"/>
          <w:sz w:val="24"/>
          <w:szCs w:val="24"/>
        </w:rPr>
      </w:pPr>
    </w:p>
    <w:p>
      <w:pPr>
        <w:rPr>
          <w:rFonts w:ascii="Arial" w:hAnsi="Arial" w:cs="Arial"/>
        </w:rPr>
      </w:pPr>
    </w:p>
    <w:p>
      <w:pPr>
        <w:rPr>
          <w:rFonts w:hint="default" w:ascii="Arial" w:hAnsi="Arial" w:cs="Arial"/>
          <w:lang w:val="en"/>
        </w:rPr>
      </w:pPr>
      <w:r>
        <w:rPr>
          <w:rFonts w:ascii="Arial" w:hAnsi="Arial" w:cs="Arial"/>
        </w:rPr>
        <w:t>Course Outcomes (CO)</w:t>
      </w:r>
      <w:r>
        <w:rPr>
          <w:rFonts w:hint="default" w:ascii="Arial" w:hAnsi="Arial" w:cs="Arial"/>
          <w:lang w:val="en"/>
        </w:rPr>
        <w:t>:</w:t>
      </w:r>
    </w:p>
    <w:p>
      <w:pPr>
        <w:rPr>
          <w:rFonts w:hint="default" w:ascii="Arial" w:hAnsi="Arial" w:cs="Arial"/>
          <w:lang w:val="en"/>
        </w:rPr>
      </w:pPr>
    </w:p>
    <w:p>
      <w:pPr>
        <w:spacing w:after="0"/>
        <w:rPr>
          <w:rFonts w:ascii="Times New Roman" w:hAnsi="Times New Roman"/>
          <w:b w:val="0"/>
          <w:bCs/>
          <w:sz w:val="24"/>
          <w:szCs w:val="24"/>
        </w:rPr>
      </w:pPr>
      <w:r>
        <w:rPr>
          <w:rFonts w:ascii="Times New Roman" w:hAnsi="Times New Roman"/>
          <w:b w:val="0"/>
          <w:bCs/>
          <w:sz w:val="24"/>
          <w:szCs w:val="24"/>
        </w:rPr>
        <w:t xml:space="preserve"> Students will know the basics and concept of managing medical projects.</w:t>
      </w:r>
    </w:p>
    <w:p>
      <w:pPr>
        <w:suppressAutoHyphens w:val="0"/>
        <w:autoSpaceDE w:val="0"/>
        <w:autoSpaceDN w:val="0"/>
        <w:adjustRightInd w:val="0"/>
        <w:jc w:val="both"/>
        <w:rPr>
          <w:rFonts w:ascii="Times New Roman" w:hAnsi="Times New Roman" w:cs="Times New Roman"/>
          <w:color w:val="000000"/>
          <w:sz w:val="22"/>
          <w:szCs w:val="22"/>
        </w:rPr>
      </w:pPr>
    </w:p>
    <w:p>
      <w:pPr>
        <w:pStyle w:val="22"/>
        <w:autoSpaceDE w:val="0"/>
        <w:autoSpaceDN w:val="0"/>
        <w:adjustRightInd w:val="0"/>
        <w:ind w:left="0" w:leftChars="0" w:firstLine="0" w:firstLineChars="0"/>
        <w:rPr>
          <w:color w:val="000000"/>
          <w:sz w:val="22"/>
          <w:szCs w:val="22"/>
        </w:rPr>
      </w:pPr>
    </w:p>
    <w:p>
      <w:pPr>
        <w:pStyle w:val="22"/>
        <w:autoSpaceDE w:val="0"/>
        <w:autoSpaceDN w:val="0"/>
        <w:adjustRightInd w:val="0"/>
        <w:ind w:left="0" w:leftChars="0" w:firstLine="0" w:firstLineChars="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pStyle w:val="22"/>
        <w:autoSpaceDE w:val="0"/>
        <w:autoSpaceDN w:val="0"/>
        <w:adjustRightInd w:val="0"/>
        <w:rPr>
          <w:color w:val="000000"/>
          <w:sz w:val="22"/>
          <w:szCs w:val="22"/>
        </w:rPr>
      </w:pPr>
    </w:p>
    <w:p>
      <w:pPr>
        <w:widowControl w:val="0"/>
        <w:suppressAutoHyphens/>
        <w:ind w:left="360"/>
        <w:jc w:val="both"/>
      </w:pPr>
      <w:r>
        <w:rPr>
          <w:rFonts w:ascii="Arial" w:hAnsi="Arial" w:cs="Arial"/>
        </w:rPr>
        <w:t>Course Outline</w:t>
      </w:r>
    </w:p>
    <w:p>
      <w:pPr>
        <w:rPr>
          <w:rFonts w:ascii="Arial" w:hAnsi="Arial" w:cs="Arial"/>
        </w:rPr>
      </w:pPr>
      <w:r>
        <w:rPr>
          <w:rFonts w:ascii="Arial" w:hAnsi="Arial" w:cs="Arial"/>
        </w:rPr>
        <w:t>(Key in topics to be dealt)</w:t>
      </w:r>
    </w:p>
    <w:p>
      <w:pPr>
        <w:rPr>
          <w:rFonts w:ascii="Arial" w:hAnsi="Arial" w:cs="Arial"/>
        </w:rPr>
      </w:pPr>
    </w:p>
    <w:p>
      <w:pPr>
        <w:rPr>
          <w:rFonts w:ascii="Arial" w:hAnsi="Arial" w:cs="Arial"/>
        </w:rPr>
      </w:pPr>
    </w:p>
    <w:p>
      <w:pPr>
        <w:spacing w:after="0"/>
        <w:rPr>
          <w:rFonts w:ascii="Times New Roman" w:hAnsi="Times New Roman"/>
          <w:sz w:val="21"/>
          <w:szCs w:val="21"/>
        </w:rPr>
      </w:pPr>
      <w:r>
        <w:rPr>
          <w:rFonts w:ascii="Times New Roman" w:hAnsi="Times New Roman"/>
          <w:b/>
          <w:sz w:val="21"/>
          <w:szCs w:val="21"/>
        </w:rPr>
        <w:t>UNIT I: Corporate Communication Concept &amp; theory</w:t>
      </w: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 xml:space="preserve">         </w:t>
      </w:r>
      <w:r>
        <w:rPr>
          <w:rFonts w:ascii="Times New Roman" w:hAnsi="Times New Roman"/>
          <w:sz w:val="21"/>
          <w:szCs w:val="21"/>
        </w:rPr>
        <w:tab/>
      </w:r>
      <w:r>
        <w:rPr>
          <w:rFonts w:ascii="Times New Roman" w:hAnsi="Times New Roman"/>
          <w:sz w:val="21"/>
          <w:szCs w:val="21"/>
        </w:rPr>
        <w:tab/>
      </w:r>
      <w:r>
        <w:rPr>
          <w:rFonts w:ascii="Times New Roman" w:hAnsi="Times New Roman"/>
          <w:sz w:val="21"/>
          <w:szCs w:val="21"/>
        </w:rPr>
        <w:t xml:space="preserve">       </w:t>
      </w:r>
    </w:p>
    <w:p>
      <w:pPr>
        <w:spacing w:after="0"/>
        <w:jc w:val="both"/>
        <w:rPr>
          <w:rFonts w:ascii="Times New Roman" w:hAnsi="Times New Roman"/>
          <w:sz w:val="21"/>
          <w:szCs w:val="21"/>
        </w:rPr>
      </w:pPr>
      <w:r>
        <w:rPr>
          <w:rFonts w:ascii="Times New Roman" w:hAnsi="Times New Roman"/>
          <w:sz w:val="21"/>
          <w:szCs w:val="21"/>
        </w:rPr>
        <w:t>Basics of branding, advertising &amp; media communications, Role of administrator in corporate communication, Trends &amp; Limitations in Healthcare advertising &amp; media communications. Concepts &amp; methods of branding &amp; advertising Healthcare services, Use of various media for health service promotions.</w:t>
      </w:r>
    </w:p>
    <w:p>
      <w:pPr>
        <w:spacing w:after="0"/>
        <w:jc w:val="both"/>
        <w:rPr>
          <w:rFonts w:ascii="Times New Roman" w:hAnsi="Times New Roman"/>
          <w:sz w:val="21"/>
          <w:szCs w:val="21"/>
        </w:rPr>
      </w:pPr>
      <w:r>
        <w:rPr>
          <w:rFonts w:ascii="Times New Roman" w:hAnsi="Times New Roman"/>
          <w:sz w:val="21"/>
          <w:szCs w:val="21"/>
        </w:rPr>
        <w:t xml:space="preserve">Public Relations: Concept. Definition. Concept of Public. Role of Administration. Need of Public Relations. Public Relations as two way process. Method and Media. Customer Relationship Management, Patient Management &amp; CRM.  </w:t>
      </w:r>
    </w:p>
    <w:p>
      <w:pPr>
        <w:spacing w:after="0"/>
        <w:rPr>
          <w:rFonts w:ascii="Times New Roman" w:hAnsi="Times New Roman"/>
          <w:sz w:val="21"/>
          <w:szCs w:val="21"/>
        </w:rPr>
      </w:pPr>
      <w:r>
        <w:rPr>
          <w:rFonts w:ascii="Times New Roman" w:hAnsi="Times New Roman"/>
          <w:sz w:val="21"/>
          <w:szCs w:val="21"/>
        </w:rPr>
        <w:softHyphen/>
      </w:r>
    </w:p>
    <w:p>
      <w:pPr>
        <w:pStyle w:val="8"/>
        <w:spacing w:after="0" w:line="240" w:lineRule="auto"/>
        <w:rPr>
          <w:rFonts w:ascii="Times New Roman" w:hAnsi="Times New Roman"/>
          <w:sz w:val="21"/>
          <w:szCs w:val="21"/>
        </w:rPr>
      </w:pPr>
      <w:r>
        <w:rPr>
          <w:rFonts w:ascii="Times New Roman" w:hAnsi="Times New Roman"/>
          <w:b/>
          <w:sz w:val="21"/>
          <w:szCs w:val="21"/>
        </w:rPr>
        <w:t>Unit 2</w:t>
      </w:r>
      <w:r>
        <w:rPr>
          <w:rFonts w:ascii="Times New Roman" w:hAnsi="Times New Roman"/>
          <w:b/>
          <w:sz w:val="21"/>
          <w:szCs w:val="21"/>
          <w:lang w:eastAsia="en-US"/>
        </w:rPr>
        <w:t>: International Health Organizations and their role</w:t>
      </w:r>
      <w:r>
        <w:rPr>
          <w:rFonts w:ascii="Times New Roman" w:hAnsi="Times New Roman"/>
          <w:sz w:val="21"/>
          <w:szCs w:val="21"/>
          <w:lang w:eastAsia="en-US"/>
        </w:rPr>
        <w:t xml:space="preserve">. </w:t>
      </w:r>
      <w:r>
        <w:rPr>
          <w:rFonts w:ascii="Times New Roman" w:hAnsi="Times New Roman"/>
          <w:sz w:val="21"/>
          <w:szCs w:val="21"/>
          <w:lang w:eastAsia="en-US"/>
        </w:rPr>
        <w:tab/>
      </w:r>
      <w:r>
        <w:rPr>
          <w:rFonts w:ascii="Times New Roman" w:hAnsi="Times New Roman"/>
          <w:sz w:val="21"/>
          <w:szCs w:val="21"/>
          <w:lang w:eastAsia="en-US"/>
        </w:rPr>
        <w:tab/>
      </w:r>
      <w:r>
        <w:rPr>
          <w:rFonts w:ascii="Times New Roman" w:hAnsi="Times New Roman"/>
          <w:sz w:val="21"/>
          <w:szCs w:val="21"/>
          <w:lang w:eastAsia="en-US"/>
        </w:rPr>
        <w:t xml:space="preserve">                  </w:t>
      </w:r>
      <w:r>
        <w:rPr>
          <w:rFonts w:ascii="Times New Roman" w:hAnsi="Times New Roman"/>
          <w:sz w:val="21"/>
          <w:szCs w:val="21"/>
          <w:lang w:eastAsia="en-US"/>
        </w:rPr>
        <w:tab/>
      </w:r>
      <w:r>
        <w:rPr>
          <w:rFonts w:ascii="Times New Roman" w:hAnsi="Times New Roman"/>
          <w:sz w:val="21"/>
          <w:szCs w:val="21"/>
          <w:lang w:eastAsia="en-US"/>
        </w:rPr>
        <w:t xml:space="preserve">     </w:t>
      </w:r>
    </w:p>
    <w:p>
      <w:pPr>
        <w:pStyle w:val="8"/>
        <w:spacing w:after="0" w:line="240" w:lineRule="auto"/>
        <w:rPr>
          <w:rFonts w:ascii="Times New Roman" w:hAnsi="Times New Roman"/>
          <w:sz w:val="21"/>
          <w:szCs w:val="21"/>
        </w:rPr>
      </w:pPr>
      <w:r>
        <w:rPr>
          <w:rFonts w:ascii="Times New Roman" w:hAnsi="Times New Roman"/>
          <w:sz w:val="21"/>
          <w:szCs w:val="21"/>
        </w:rPr>
        <w:t>International Health Regulations, &amp; International health insurance schemes, Concept of HMO, PPO, TPA, etc, International Aid Agencies in healthcare. Medical/ Health Insurance, National CommUnity Health Insurance Schemes, Roles of Governments, NGOs, Private Sectors in healthcare financing and distribution, national Health Insurance schemes.</w:t>
      </w:r>
    </w:p>
    <w:p>
      <w:pPr>
        <w:spacing w:after="0"/>
        <w:jc w:val="both"/>
        <w:rPr>
          <w:rFonts w:ascii="Times New Roman" w:hAnsi="Times New Roman"/>
          <w:b/>
          <w:sz w:val="21"/>
          <w:szCs w:val="21"/>
        </w:rPr>
      </w:pPr>
    </w:p>
    <w:p>
      <w:pPr>
        <w:pStyle w:val="8"/>
        <w:spacing w:after="0" w:line="240" w:lineRule="auto"/>
        <w:rPr>
          <w:rFonts w:ascii="Times New Roman" w:hAnsi="Times New Roman"/>
          <w:b/>
          <w:sz w:val="21"/>
          <w:szCs w:val="21"/>
          <w:lang w:eastAsia="en-US"/>
        </w:rPr>
      </w:pPr>
      <w:r>
        <w:rPr>
          <w:rFonts w:ascii="Times New Roman" w:hAnsi="Times New Roman"/>
          <w:b/>
          <w:sz w:val="21"/>
          <w:szCs w:val="21"/>
        </w:rPr>
        <w:t>Unit-3</w:t>
      </w:r>
      <w:r>
        <w:rPr>
          <w:rFonts w:ascii="Times New Roman" w:hAnsi="Times New Roman"/>
          <w:b/>
          <w:sz w:val="21"/>
          <w:szCs w:val="21"/>
          <w:lang w:eastAsia="en-US"/>
        </w:rPr>
        <w:t xml:space="preserve"> Concept and History of Health Tourism and Medical Health Tourism</w:t>
      </w:r>
      <w:r>
        <w:rPr>
          <w:rFonts w:ascii="Times New Roman" w:hAnsi="Times New Roman"/>
          <w:sz w:val="21"/>
          <w:szCs w:val="21"/>
          <w:lang w:eastAsia="en-US"/>
        </w:rPr>
        <w:t>,</w:t>
      </w:r>
      <w:r>
        <w:rPr>
          <w:rFonts w:ascii="Times New Roman" w:hAnsi="Times New Roman"/>
          <w:sz w:val="21"/>
          <w:szCs w:val="21"/>
          <w:lang w:eastAsia="en-US"/>
        </w:rPr>
        <w:tab/>
      </w:r>
      <w:r>
        <w:rPr>
          <w:rFonts w:ascii="Times New Roman" w:hAnsi="Times New Roman"/>
          <w:b/>
          <w:sz w:val="21"/>
          <w:szCs w:val="21"/>
          <w:lang w:eastAsia="en-US"/>
        </w:rPr>
        <w:t xml:space="preserve">                   </w:t>
      </w:r>
    </w:p>
    <w:p>
      <w:pPr>
        <w:spacing w:after="0"/>
        <w:jc w:val="both"/>
        <w:rPr>
          <w:rFonts w:ascii="Times New Roman" w:hAnsi="Times New Roman"/>
          <w:sz w:val="21"/>
          <w:szCs w:val="21"/>
        </w:rPr>
      </w:pPr>
      <w:r>
        <w:rPr>
          <w:rFonts w:ascii="Times New Roman" w:hAnsi="Times New Roman"/>
          <w:sz w:val="21"/>
          <w:szCs w:val="21"/>
        </w:rPr>
        <w:t xml:space="preserve">Process, Legal and Ethical Issues, Prevention of Malpractices with examples. An Overview, Role of Services, Services and Products, Importance of Services, Nature of Services, Service characteristics &amp; Classifications, Service Process Matrix.                     </w:t>
      </w:r>
    </w:p>
    <w:p>
      <w:pPr>
        <w:pStyle w:val="8"/>
        <w:spacing w:after="0" w:line="240" w:lineRule="auto"/>
        <w:rPr>
          <w:rFonts w:ascii="Times New Roman" w:hAnsi="Times New Roman"/>
          <w:sz w:val="21"/>
          <w:szCs w:val="21"/>
          <w:lang w:eastAsia="en-US"/>
        </w:rPr>
      </w:pPr>
    </w:p>
    <w:p>
      <w:pPr>
        <w:pStyle w:val="8"/>
        <w:spacing w:after="0" w:line="240" w:lineRule="auto"/>
        <w:rPr>
          <w:rFonts w:ascii="Times New Roman" w:hAnsi="Times New Roman"/>
          <w:b/>
          <w:sz w:val="21"/>
          <w:szCs w:val="21"/>
          <w:lang w:eastAsia="en-US"/>
        </w:rPr>
      </w:pPr>
      <w:r>
        <w:rPr>
          <w:rFonts w:ascii="Times New Roman" w:hAnsi="Times New Roman"/>
          <w:b/>
          <w:sz w:val="21"/>
          <w:szCs w:val="21"/>
        </w:rPr>
        <w:t>Unit-4</w:t>
      </w:r>
      <w:r>
        <w:rPr>
          <w:rFonts w:ascii="Times New Roman" w:hAnsi="Times New Roman"/>
          <w:b/>
          <w:sz w:val="21"/>
          <w:szCs w:val="21"/>
          <w:lang w:eastAsia="en-US"/>
        </w:rPr>
        <w:t xml:space="preserve"> Concepts of customer variability: </w:t>
      </w:r>
      <w:r>
        <w:rPr>
          <w:rFonts w:ascii="Times New Roman" w:hAnsi="Times New Roman"/>
          <w:b/>
          <w:sz w:val="21"/>
          <w:szCs w:val="21"/>
          <w:lang w:eastAsia="en-US"/>
        </w:rPr>
        <w:tab/>
      </w:r>
      <w:r>
        <w:rPr>
          <w:rFonts w:ascii="Times New Roman" w:hAnsi="Times New Roman"/>
          <w:b/>
          <w:sz w:val="21"/>
          <w:szCs w:val="21"/>
          <w:lang w:eastAsia="en-US"/>
        </w:rPr>
        <w:tab/>
      </w:r>
      <w:r>
        <w:rPr>
          <w:rFonts w:ascii="Times New Roman" w:hAnsi="Times New Roman"/>
          <w:b/>
          <w:sz w:val="21"/>
          <w:szCs w:val="21"/>
          <w:lang w:eastAsia="en-US"/>
        </w:rPr>
        <w:tab/>
      </w:r>
      <w:r>
        <w:rPr>
          <w:rFonts w:ascii="Times New Roman" w:hAnsi="Times New Roman"/>
          <w:b/>
          <w:sz w:val="21"/>
          <w:szCs w:val="21"/>
          <w:lang w:eastAsia="en-US"/>
        </w:rPr>
        <w:tab/>
      </w:r>
      <w:r>
        <w:rPr>
          <w:rFonts w:ascii="Times New Roman" w:hAnsi="Times New Roman"/>
          <w:b/>
          <w:sz w:val="21"/>
          <w:szCs w:val="21"/>
          <w:lang w:eastAsia="en-US"/>
        </w:rPr>
        <w:tab/>
      </w:r>
      <w:r>
        <w:rPr>
          <w:rFonts w:ascii="Times New Roman" w:hAnsi="Times New Roman"/>
          <w:b/>
          <w:sz w:val="21"/>
          <w:szCs w:val="21"/>
          <w:lang w:eastAsia="en-US"/>
        </w:rPr>
        <w:t xml:space="preserve">          </w:t>
      </w:r>
      <w:r>
        <w:rPr>
          <w:rFonts w:ascii="Times New Roman" w:hAnsi="Times New Roman"/>
          <w:b/>
          <w:sz w:val="21"/>
          <w:szCs w:val="21"/>
          <w:lang w:eastAsia="en-US"/>
        </w:rPr>
        <w:tab/>
      </w:r>
      <w:r>
        <w:rPr>
          <w:rFonts w:ascii="Times New Roman" w:hAnsi="Times New Roman"/>
          <w:b/>
          <w:sz w:val="21"/>
          <w:szCs w:val="21"/>
          <w:lang w:eastAsia="en-US"/>
        </w:rPr>
        <w:t xml:space="preserve">       </w:t>
      </w:r>
    </w:p>
    <w:p>
      <w:pPr>
        <w:jc w:val="both"/>
        <w:rPr>
          <w:sz w:val="21"/>
          <w:szCs w:val="21"/>
        </w:rPr>
      </w:pPr>
      <w:r>
        <w:rPr>
          <w:rFonts w:ascii="Times New Roman" w:hAnsi="Times New Roman"/>
          <w:sz w:val="21"/>
          <w:szCs w:val="21"/>
        </w:rPr>
        <w:t>Product &amp; Service Design, Service Design &amp; Management, Queuing theory, Capacity management, Scheduling, PERT &amp; CPM applications Framework for Analyzing Service operations. Comparative analysis of different Healthcare system, Healthcare sectors and their functions, Community and population Health.</w:t>
      </w:r>
    </w:p>
    <w:p>
      <w:pPr>
        <w:pStyle w:val="22"/>
        <w:ind w:left="0"/>
        <w:rPr>
          <w:rFonts w:ascii="Arial" w:hAnsi="Arial" w:cs="Arial"/>
          <w:color w:val="000000"/>
          <w:sz w:val="22"/>
          <w:szCs w:val="22"/>
        </w:rPr>
      </w:pPr>
    </w:p>
    <w:p>
      <w:pPr>
        <w:jc w:val="center"/>
        <w:rPr>
          <w:b/>
          <w:bCs/>
          <w:color w:val="000000"/>
          <w:sz w:val="22"/>
          <w:szCs w:val="22"/>
          <w:u w:val="single"/>
        </w:rPr>
      </w:pPr>
    </w:p>
    <w:p>
      <w:pPr>
        <w:pStyle w:val="2"/>
        <w:rPr>
          <w:rFonts w:ascii="Arial" w:hAnsi="Arial" w:cs="Arial"/>
          <w:sz w:val="24"/>
          <w:szCs w:val="24"/>
        </w:rPr>
      </w:pPr>
      <w:r>
        <w:rPr>
          <w:rFonts w:ascii="Arial" w:hAnsi="Arial" w:cs="Arial"/>
          <w:sz w:val="24"/>
          <w:szCs w:val="24"/>
        </w:rPr>
        <w:t>Method of delivery</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Face to face lectures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PPT/Video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Class activities</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Article presentation</w:t>
      </w:r>
    </w:p>
    <w:p>
      <w:pPr>
        <w:pStyle w:val="22"/>
        <w:numPr>
          <w:ilvl w:val="0"/>
          <w:numId w:val="2"/>
        </w:numPr>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Seminar presentation</w:t>
      </w:r>
    </w:p>
    <w:p>
      <w:pPr>
        <w:pStyle w:val="2"/>
        <w:rPr>
          <w:rFonts w:ascii="Arial" w:hAnsi="Arial" w:cs="Arial"/>
          <w:b w:val="0"/>
          <w:color w:val="000000" w:themeColor="text1"/>
          <w:sz w:val="24"/>
          <w:szCs w:val="24"/>
          <w14:textFill>
            <w14:solidFill>
              <w14:schemeClr w14:val="tx1"/>
            </w14:solidFill>
          </w14:textFill>
        </w:rPr>
      </w:pPr>
      <w:r>
        <w:rPr>
          <w:rFonts w:ascii="Arial" w:hAnsi="Arial" w:cs="Arial"/>
          <w:b w:val="0"/>
          <w:color w:val="000000" w:themeColor="text1"/>
          <w:sz w:val="24"/>
          <w:szCs w:val="24"/>
          <w14:textFill>
            <w14:solidFill>
              <w14:schemeClr w14:val="tx1"/>
            </w14:solidFill>
          </w14:textFill>
        </w:rPr>
        <w:t>Study time</w:t>
      </w:r>
    </w:p>
    <w:p>
      <w:pPr>
        <w:rPr>
          <w:rFonts w:ascii="Arial" w:hAnsi="Arial" w:cs="Arial"/>
          <w:color w:val="000000" w:themeColor="text1"/>
          <w14:textFill>
            <w14:solidFill>
              <w14:schemeClr w14:val="tx1"/>
            </w14:solidFill>
          </w14:textFill>
        </w:rPr>
      </w:pPr>
      <w:r>
        <w:rPr>
          <w:rFonts w:hint="default" w:ascii="Arial" w:hAnsi="Arial" w:cs="Arial"/>
          <w:color w:val="000000" w:themeColor="text1"/>
          <w:lang w:val="en"/>
          <w14:textFill>
            <w14:solidFill>
              <w14:schemeClr w14:val="tx1"/>
            </w14:solidFill>
          </w14:textFill>
        </w:rPr>
        <w:t>3</w:t>
      </w:r>
      <w:r>
        <w:rPr>
          <w:rFonts w:ascii="Arial" w:hAnsi="Arial" w:cs="Arial"/>
          <w:color w:val="000000" w:themeColor="text1"/>
          <w14:textFill>
            <w14:solidFill>
              <w14:schemeClr w14:val="tx1"/>
            </w14:solidFill>
          </w14:textFill>
        </w:rPr>
        <w:t xml:space="preserve"> hours/week</w:t>
      </w:r>
    </w:p>
    <w:p>
      <w:pPr>
        <w:ind w:left="567" w:hanging="567"/>
        <w:jc w:val="both"/>
        <w:rPr>
          <w:rFonts w:ascii="Arial" w:hAnsi="Arial" w:cs="Arial"/>
          <w:color w:val="000000" w:themeColor="text1"/>
          <w14:textFill>
            <w14:solidFill>
              <w14:schemeClr w14:val="tx1"/>
            </w14:solidFill>
          </w14:textFill>
        </w:rPr>
      </w:pPr>
    </w:p>
    <w:p/>
    <w:p/>
    <w:p/>
    <w:p/>
    <w:p/>
    <w:p/>
    <w:p/>
    <w:p/>
    <w:p/>
    <w:p>
      <w:pPr>
        <w:pStyle w:val="2"/>
        <w:rPr>
          <w:rFonts w:ascii="Arial" w:hAnsi="Arial" w:cs="Arial"/>
          <w:sz w:val="24"/>
          <w:szCs w:val="24"/>
        </w:rPr>
      </w:pPr>
      <w:r>
        <w:rPr>
          <w:rFonts w:ascii="Arial" w:hAnsi="Arial" w:cs="Arial"/>
          <w:sz w:val="24"/>
          <w:szCs w:val="24"/>
        </w:rPr>
        <w:t>Blooms Taxonomyand Knowledge retention(For reference)</w:t>
      </w:r>
    </w:p>
    <w:p>
      <w:pPr>
        <w:rPr>
          <w:rFonts w:ascii="Arial" w:hAnsi="Arial" w:cs="Arial"/>
        </w:rPr>
      </w:pPr>
      <w:r>
        <w:rPr>
          <w:rFonts w:ascii="Arial" w:hAnsi="Arial" w:cs="Arial"/>
        </w:rPr>
        <w:t xml:space="preserve">(Blooms taxonomy has been given for reference) </w:t>
      </w:r>
    </w:p>
    <w:p>
      <w:pPr>
        <w:tabs>
          <w:tab w:val="left" w:pos="3018"/>
        </w:tabs>
        <w:rPr>
          <w:rFonts w:ascii="Arial" w:hAnsi="Arial" w:cs="Arial"/>
        </w:rPr>
      </w:pPr>
      <w:r>
        <w:rPr>
          <w:rFonts w:ascii="Arial" w:hAnsi="Arial" w:cs="Arial"/>
        </w:rPr>
        <w:tab/>
      </w:r>
    </w:p>
    <w:p>
      <w:pPr>
        <w:keepNext/>
        <w:jc w:val="center"/>
      </w:pPr>
      <w:r>
        <w:rPr>
          <w:lang w:bidi="gu-IN"/>
        </w:rPr>
        <w:drawing>
          <wp:inline distT="0" distB="0" distL="0" distR="0">
            <wp:extent cx="2734945" cy="1983740"/>
            <wp:effectExtent l="0" t="0" r="8255" b="0"/>
            <wp:docPr id="102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a:xfrm>
                      <a:off x="0" y="0"/>
                      <a:ext cx="2736502" cy="1984841"/>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1</w:t>
      </w:r>
      <w:r>
        <w:fldChar w:fldCharType="end"/>
      </w:r>
      <w:r>
        <w:t>: Blooms Taxonomy</w:t>
      </w:r>
    </w:p>
    <w:p>
      <w:pPr>
        <w:keepNext/>
        <w:jc w:val="center"/>
      </w:pPr>
      <w:r>
        <w:rPr>
          <w:lang w:bidi="gu-IN"/>
        </w:rPr>
        <w:drawing>
          <wp:inline distT="0" distB="0" distL="0" distR="0">
            <wp:extent cx="3992245" cy="1983105"/>
            <wp:effectExtent l="0" t="0" r="8255" b="0"/>
            <wp:docPr id="614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146"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a:xfrm>
                      <a:off x="0" y="0"/>
                      <a:ext cx="3992795" cy="1983600"/>
                    </a:xfrm>
                    <a:prstGeom prst="rect">
                      <a:avLst/>
                    </a:prstGeom>
                    <a:noFill/>
                    <a:ln>
                      <a:noFill/>
                    </a:ln>
                    <a:effectLst/>
                  </pic:spPr>
                </pic:pic>
              </a:graphicData>
            </a:graphic>
          </wp:inline>
        </w:drawing>
      </w:r>
    </w:p>
    <w:p>
      <w:pPr>
        <w:pStyle w:val="11"/>
        <w:jc w:val="center"/>
      </w:pPr>
      <w:r>
        <w:t xml:space="preserve">Figure </w:t>
      </w:r>
      <w:r>
        <w:fldChar w:fldCharType="begin"/>
      </w:r>
      <w:r>
        <w:instrText xml:space="preserve"> SEQ Figure \* ARABIC </w:instrText>
      </w:r>
      <w:r>
        <w:fldChar w:fldCharType="separate"/>
      </w:r>
      <w:r>
        <w:t>2</w:t>
      </w:r>
      <w:r>
        <w:fldChar w:fldCharType="end"/>
      </w:r>
      <w:r>
        <w:t>: Knowledge retention</w:t>
      </w:r>
    </w:p>
    <w:p>
      <w:pPr>
        <w:pStyle w:val="2"/>
      </w:pPr>
    </w:p>
    <w:p>
      <w:pPr>
        <w:pStyle w:val="2"/>
        <w:rPr>
          <w:rFonts w:ascii="Arial" w:hAnsi="Arial" w:cs="Arial"/>
          <w:sz w:val="24"/>
          <w:szCs w:val="24"/>
        </w:rPr>
      </w:pPr>
      <w:r>
        <w:rPr>
          <w:rFonts w:ascii="Arial" w:hAnsi="Arial" w:cs="Arial"/>
          <w:sz w:val="24"/>
          <w:szCs w:val="24"/>
        </w:rPr>
        <w:t xml:space="preserve">Graduate Qualities and Capabilities covered </w:t>
      </w:r>
    </w:p>
    <w:p>
      <w:pPr>
        <w:rPr>
          <w:rFonts w:ascii="Arial" w:hAnsi="Arial" w:cs="Arial"/>
        </w:rPr>
      </w:pPr>
      <w:r>
        <w:rPr>
          <w:rFonts w:ascii="Arial" w:hAnsi="Arial" w:cs="Arial"/>
        </w:rPr>
        <w:t>(Qualities graduates harness crediting this Course)</w:t>
      </w:r>
    </w:p>
    <w:p>
      <w:pPr>
        <w:rPr>
          <w:rFonts w:ascii="Arial" w:hAnsi="Arial" w:cs="Arial"/>
        </w:rPr>
      </w:pPr>
    </w:p>
    <w:tbl>
      <w:tblPr>
        <w:tblStyle w:val="19"/>
        <w:tblpPr w:leftFromText="180" w:rightFromText="180" w:vertAnchor="text" w:tblpX="90" w:tblpY="1"/>
        <w:tblOverlap w:val="never"/>
        <w:tblW w:w="95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80"/>
        <w:gridCol w:w="48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General Graduate Qualities</w:t>
            </w:r>
          </w:p>
        </w:tc>
        <w:tc>
          <w:tcPr>
            <w:tcW w:w="4860" w:type="dxa"/>
            <w:shd w:val="clear" w:color="auto" w:fill="0F243E" w:themeFill="text2" w:themeFillShade="80"/>
          </w:tcPr>
          <w:p>
            <w:pPr>
              <w:rPr>
                <w:rFonts w:ascii="Arial" w:hAnsi="Arial" w:cs="Arial"/>
                <w:color w:val="95B3D7" w:themeColor="accent1" w:themeTint="99"/>
                <w14:textFill>
                  <w14:solidFill>
                    <w14:schemeClr w14:val="accent1">
                      <w14:lumMod w14:val="60000"/>
                      <w14:lumOff w14:val="40000"/>
                    </w14:schemeClr>
                  </w14:solidFill>
                </w14:textFill>
              </w:rPr>
            </w:pPr>
            <w:r>
              <w:rPr>
                <w:rFonts w:ascii="Arial" w:hAnsi="Arial" w:cs="Arial"/>
                <w:b/>
                <w:color w:val="95B3D7" w:themeColor="accent1" w:themeTint="99"/>
                <w14:textFill>
                  <w14:solidFill>
                    <w14:schemeClr w14:val="accent1">
                      <w14:lumMod w14:val="60000"/>
                      <w14:lumOff w14:val="40000"/>
                    </w14:schemeClr>
                  </w14:solidFill>
                </w14:textFill>
              </w:rPr>
              <w:t>Specific Department of ______Graduate Capabilities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Informed</w:t>
            </w:r>
          </w:p>
          <w:p>
            <w:pPr>
              <w:rPr>
                <w:rFonts w:ascii="Arial" w:hAnsi="Arial" w:cs="Arial"/>
              </w:rPr>
            </w:pPr>
            <w:r>
              <w:rPr>
                <w:rFonts w:ascii="Arial" w:hAnsi="Arial" w:cs="Arial"/>
              </w:rPr>
              <w:t>Have a sound knowledge of an area of study or profession and understand its current issues, locally and internationally. Know how to apply this knowledge. Understand how an area of study has developed and how it relates to other areas.</w:t>
            </w:r>
          </w:p>
        </w:tc>
        <w:tc>
          <w:tcPr>
            <w:tcW w:w="4860" w:type="dxa"/>
            <w:shd w:val="clear" w:color="auto" w:fill="auto"/>
          </w:tcPr>
          <w:p>
            <w:pPr>
              <w:rPr>
                <w:rFonts w:ascii="Arial" w:hAnsi="Arial" w:cs="Arial"/>
                <w:b/>
              </w:rPr>
            </w:pPr>
            <w:r>
              <w:rPr>
                <w:rFonts w:ascii="Arial" w:hAnsi="Arial" w:cs="Arial"/>
                <w:b/>
              </w:rPr>
              <w:t>1 Professional knowledge, grounding &amp; awareness:</w:t>
            </w:r>
          </w:p>
          <w:p>
            <w:pPr>
              <w:numPr>
                <w:numId w:val="0"/>
              </w:numPr>
              <w:suppressAutoHyphens w:val="0"/>
              <w:autoSpaceDE w:val="0"/>
              <w:autoSpaceDN w:val="0"/>
              <w:adjustRightInd w:val="0"/>
              <w:jc w:val="both"/>
              <w:rPr>
                <w:rFonts w:hint="default" w:ascii="Times New Roman" w:hAnsi="Times New Roman" w:cs="Times New Roman"/>
                <w:color w:val="000000"/>
                <w:sz w:val="24"/>
                <w:szCs w:val="24"/>
                <w:lang w:val="en"/>
              </w:rPr>
            </w:pPr>
            <w:r>
              <w:rPr>
                <w:rFonts w:ascii="Arial" w:hAnsi="Arial" w:cs="Arial"/>
              </w:rPr>
              <w:t xml:space="preserve">Student will be able to learn </w:t>
            </w:r>
            <w:r>
              <w:rPr>
                <w:rFonts w:hint="default" w:cs="Times New Roman"/>
                <w:color w:val="000000"/>
                <w:sz w:val="24"/>
                <w:szCs w:val="24"/>
                <w:lang w:val="en"/>
              </w:rPr>
              <w:t>concept of healthcare administration.</w:t>
            </w:r>
          </w:p>
          <w:p>
            <w:pPr>
              <w:rPr>
                <w:rFonts w:hint="default" w:ascii="Arial" w:hAnsi="Arial" w:cs="Arial"/>
                <w:lang w:val="e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375" w:hRule="atLeast"/>
        </w:trPr>
        <w:tc>
          <w:tcPr>
            <w:tcW w:w="4680" w:type="dxa"/>
          </w:tcPr>
          <w:p>
            <w:pPr>
              <w:rPr>
                <w:rFonts w:ascii="Arial" w:hAnsi="Arial" w:cs="Arial"/>
                <w:b/>
              </w:rPr>
            </w:pPr>
            <w:r>
              <w:rPr>
                <w:rFonts w:ascii="Arial" w:hAnsi="Arial" w:cs="Arial"/>
                <w:b/>
              </w:rPr>
              <w:t>Independent learners</w:t>
            </w:r>
          </w:p>
          <w:p>
            <w:pPr>
              <w:rPr>
                <w:rFonts w:ascii="Arial" w:hAnsi="Arial" w:cs="Arial"/>
              </w:rPr>
            </w:pPr>
            <w:r>
              <w:rPr>
                <w:rFonts w:ascii="Arial" w:hAnsi="Arial" w:cs="Arial"/>
              </w:rPr>
              <w:t>Engage with new ideas and ways of thinking and critically analyze issues. Seek to extend knowledge through ongoing research, enquiry and reflection. Find and evaluate information, using a variety of sources and technologies. Acknowledge the work and ideas of others.</w:t>
            </w:r>
          </w:p>
        </w:tc>
        <w:tc>
          <w:tcPr>
            <w:tcW w:w="4860" w:type="dxa"/>
            <w:shd w:val="clear" w:color="auto" w:fill="auto"/>
          </w:tcPr>
          <w:p>
            <w:pPr>
              <w:rPr>
                <w:rFonts w:ascii="Arial" w:hAnsi="Arial" w:cs="Arial"/>
                <w:b/>
              </w:rPr>
            </w:pPr>
            <w:r>
              <w:rPr>
                <w:rFonts w:ascii="Arial" w:hAnsi="Arial" w:cs="Arial"/>
                <w:b/>
              </w:rPr>
              <w:t>2 Information literacy, gathering &amp; processing</w:t>
            </w:r>
          </w:p>
          <w:p>
            <w:pPr>
              <w:pStyle w:val="28"/>
              <w:numPr>
                <w:ilvl w:val="0"/>
                <w:numId w:val="0"/>
              </w:numPr>
              <w:spacing w:line="360" w:lineRule="auto"/>
              <w:rPr>
                <w:rFonts w:hint="default" w:eastAsia="Times New Roman" w:cs="Ani" w:asciiTheme="minorAscii" w:hAnsiTheme="minorAscii"/>
                <w:color w:val="000000"/>
                <w:sz w:val="24"/>
                <w:szCs w:val="24"/>
                <w:lang w:val="en" w:eastAsia="zh-CN"/>
              </w:rPr>
            </w:pPr>
            <w:r>
              <w:rPr>
                <w:rFonts w:ascii="Arial" w:hAnsi="Arial" w:cs="Arial"/>
                <w:sz w:val="24"/>
                <w:szCs w:val="24"/>
              </w:rPr>
              <w:t>Student will be able to learn</w:t>
            </w:r>
            <w:r>
              <w:rPr>
                <w:rFonts w:hint="default" w:eastAsia="Times New Roman" w:cs="Ani" w:asciiTheme="minorAscii" w:hAnsiTheme="minorAscii"/>
                <w:color w:val="000000"/>
                <w:sz w:val="36"/>
                <w:szCs w:val="36"/>
                <w:lang w:eastAsia="zh-CN"/>
              </w:rPr>
              <w:t xml:space="preserve"> </w:t>
            </w:r>
            <w:r>
              <w:rPr>
                <w:rFonts w:hint="default" w:cs="Ani" w:asciiTheme="minorAscii" w:hAnsiTheme="minorAscii"/>
                <w:color w:val="000000"/>
                <w:sz w:val="24"/>
                <w:szCs w:val="24"/>
                <w:lang w:val="en" w:eastAsia="zh-CN"/>
              </w:rPr>
              <w:t>healthcare department.</w:t>
            </w:r>
          </w:p>
          <w:p>
            <w:pPr>
              <w:rPr>
                <w:rFonts w:ascii="Arial" w:hAnsi="Arial" w:cs="Arial"/>
                <w:b/>
              </w:rPr>
            </w:pPr>
          </w:p>
          <w:p>
            <w:pPr>
              <w:rPr>
                <w:rFonts w:ascii="Arial" w:hAnsi="Arial" w:cs="Aria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shd w:val="clear" w:color="auto" w:fill="C6D9F0" w:themeFill="text2" w:themeFillTint="33"/>
          </w:tcPr>
          <w:p>
            <w:pPr>
              <w:rPr>
                <w:rFonts w:ascii="Arial" w:hAnsi="Arial" w:cs="Arial"/>
                <w:b/>
              </w:rPr>
            </w:pPr>
            <w:r>
              <w:rPr>
                <w:rFonts w:ascii="Arial" w:hAnsi="Arial" w:cs="Arial"/>
                <w:b/>
              </w:rPr>
              <w:t>Problem solvers</w:t>
            </w:r>
          </w:p>
          <w:p>
            <w:pPr>
              <w:rPr>
                <w:rFonts w:ascii="Arial" w:hAnsi="Arial" w:cs="Arial"/>
              </w:rPr>
            </w:pPr>
            <w:r>
              <w:rPr>
                <w:rFonts w:ascii="Arial" w:hAnsi="Arial" w:cs="Arial"/>
              </w:rPr>
              <w:t>Take on challenges and opportunities. Apply creative, logical and critical thinking skills to respond effectively. Make and implement decisions. Be flexible, thorough, innovative and aim for high standards.</w:t>
            </w:r>
          </w:p>
        </w:tc>
        <w:tc>
          <w:tcPr>
            <w:tcW w:w="4860" w:type="dxa"/>
            <w:shd w:val="clear" w:color="auto" w:fill="C6D9F0" w:themeFill="text2" w:themeFillTint="33"/>
          </w:tcPr>
          <w:p>
            <w:pPr>
              <w:rPr>
                <w:rFonts w:ascii="Arial" w:hAnsi="Arial" w:cs="Arial"/>
                <w:b/>
              </w:rPr>
            </w:pPr>
            <w:r>
              <w:rPr>
                <w:rFonts w:ascii="Arial" w:hAnsi="Arial" w:cs="Arial"/>
                <w:b/>
              </w:rPr>
              <w:t>4 Problem solving skills</w:t>
            </w:r>
          </w:p>
          <w:p>
            <w:pPr>
              <w:rPr>
                <w:rFonts w:ascii="Arial" w:hAnsi="Arial" w:cs="Arial"/>
                <w:b/>
              </w:rPr>
            </w:pPr>
            <w:r>
              <w:rPr>
                <w:rFonts w:ascii="Arial" w:hAnsi="Arial" w:cs="Arial"/>
              </w:rPr>
              <w:t>Student will be able to learn problem solving skill by solving queries in project and can use easy software Handling.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4680" w:type="dxa"/>
            <w:vMerge w:val="restart"/>
            <w:shd w:val="clear" w:color="auto" w:fill="auto"/>
          </w:tcPr>
          <w:p>
            <w:pPr>
              <w:rPr>
                <w:rFonts w:ascii="Arial" w:hAnsi="Arial" w:cs="Arial"/>
                <w:b/>
              </w:rPr>
            </w:pPr>
            <w:r>
              <w:rPr>
                <w:rFonts w:ascii="Arial" w:hAnsi="Arial" w:cs="Arial"/>
                <w:b/>
              </w:rPr>
              <w:t>Effective communicators</w:t>
            </w:r>
          </w:p>
          <w:p>
            <w:pPr>
              <w:rPr>
                <w:rFonts w:ascii="Arial" w:hAnsi="Arial" w:cs="Arial"/>
              </w:rPr>
            </w:pPr>
            <w:r>
              <w:rPr>
                <w:rFonts w:ascii="Arial" w:hAnsi="Arial" w:cs="Arial"/>
              </w:rPr>
              <w:t>Articulate ideas and convey them effectively using a range of media. Work collaboratively and engage with people in different settings. Recognize how culture can shape communication.</w:t>
            </w:r>
          </w:p>
        </w:tc>
        <w:tc>
          <w:tcPr>
            <w:tcW w:w="4860" w:type="dxa"/>
          </w:tcPr>
          <w:p>
            <w:pPr>
              <w:rPr>
                <w:rFonts w:ascii="Arial" w:hAnsi="Arial" w:cs="Arial"/>
                <w:b/>
              </w:rPr>
            </w:pPr>
            <w:r>
              <w:rPr>
                <w:rFonts w:ascii="Arial" w:hAnsi="Arial" w:cs="Arial"/>
                <w:b/>
              </w:rPr>
              <w:t>5 Written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shd w:val="clear" w:color="auto" w:fill="C6D9F0" w:themeFill="text2" w:themeFillTint="33"/>
          </w:tcPr>
          <w:p>
            <w:pPr>
              <w:rPr>
                <w:rFonts w:ascii="Arial" w:hAnsi="Arial" w:cs="Arial"/>
                <w:b/>
              </w:rPr>
            </w:pPr>
            <w:r>
              <w:rPr>
                <w:rFonts w:ascii="Arial" w:hAnsi="Arial" w:cs="Arial"/>
                <w:b/>
              </w:rPr>
              <w:t>6 Oral communication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4680" w:type="dxa"/>
            <w:vMerge w:val="continue"/>
            <w:shd w:val="clear" w:color="auto" w:fill="auto"/>
          </w:tcPr>
          <w:p>
            <w:pPr>
              <w:rPr>
                <w:rFonts w:ascii="Arial" w:hAnsi="Arial" w:cs="Arial"/>
              </w:rPr>
            </w:pPr>
          </w:p>
        </w:tc>
        <w:tc>
          <w:tcPr>
            <w:tcW w:w="4860" w:type="dxa"/>
          </w:tcPr>
          <w:p>
            <w:pPr>
              <w:rPr>
                <w:rFonts w:ascii="Arial" w:hAnsi="Arial" w:cs="Arial"/>
                <w:b/>
              </w:rPr>
            </w:pPr>
            <w:r>
              <w:rPr>
                <w:rFonts w:ascii="Arial" w:hAnsi="Arial" w:cs="Arial"/>
                <w:b/>
              </w:rPr>
              <w:t>7 Teamwork</w:t>
            </w:r>
          </w:p>
          <w:p>
            <w:pPr>
              <w:rPr>
                <w:rFonts w:ascii="Arial" w:hAnsi="Arial" w:cs="Arial"/>
              </w:rPr>
            </w:pPr>
            <w:r>
              <w:rPr>
                <w:rFonts w:ascii="Arial" w:hAnsi="Arial" w:cs="Arial"/>
              </w:rPr>
              <w:t>Students can learn in industry with practical approach and in team work with user department and in collaboration with different stakeholders.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trPr>
        <w:tc>
          <w:tcPr>
            <w:tcW w:w="4680" w:type="dxa"/>
            <w:shd w:val="clear" w:color="auto" w:fill="auto"/>
          </w:tcPr>
          <w:p>
            <w:pPr>
              <w:rPr>
                <w:rFonts w:ascii="Arial" w:hAnsi="Arial" w:cs="Arial"/>
                <w:b/>
              </w:rPr>
            </w:pPr>
            <w:r>
              <w:rPr>
                <w:rFonts w:ascii="Arial" w:hAnsi="Arial" w:cs="Arial"/>
                <w:b/>
              </w:rPr>
              <w:t>Responsible</w:t>
            </w:r>
          </w:p>
          <w:p>
            <w:pPr>
              <w:rPr>
                <w:rFonts w:ascii="Arial" w:hAnsi="Arial" w:cs="Arial"/>
              </w:rPr>
            </w:pPr>
            <w:r>
              <w:rPr>
                <w:rFonts w:ascii="Arial" w:hAnsi="Arial" w:cs="Arial"/>
              </w:rPr>
              <w:t>Understand how decisions can affect others and make ethically informed choices. Appreciate and respect diversity. Act with integrity as part of local, national, global and professional communities. </w:t>
            </w:r>
          </w:p>
        </w:tc>
        <w:tc>
          <w:tcPr>
            <w:tcW w:w="4860" w:type="dxa"/>
            <w:shd w:val="clear" w:color="auto" w:fill="C6D9F0" w:themeFill="text2" w:themeFillTint="33"/>
          </w:tcPr>
          <w:p>
            <w:pPr>
              <w:keepLines/>
              <w:rPr>
                <w:rFonts w:ascii="Arial" w:hAnsi="Arial" w:cs="Arial"/>
                <w:b/>
              </w:rPr>
            </w:pPr>
            <w:r>
              <w:rPr>
                <w:rFonts w:ascii="Arial" w:hAnsi="Arial" w:cs="Arial"/>
                <w:b/>
              </w:rPr>
              <w:t>10 Sustainability, societal &amp; environmental impact</w:t>
            </w:r>
          </w:p>
          <w:p>
            <w:pPr>
              <w:keepLines/>
              <w:rPr>
                <w:rFonts w:ascii="Arial" w:hAnsi="Arial" w:cs="Arial"/>
              </w:rPr>
            </w:pPr>
            <w:r>
              <w:rPr>
                <w:rFonts w:ascii="Arial" w:hAnsi="Arial" w:cs="Arial"/>
              </w:rPr>
              <w:t xml:space="preserve">Students can </w:t>
            </w:r>
            <w:r>
              <w:rPr>
                <w:rFonts w:hint="default" w:eastAsia="Times New Roman" w:cs="Ani" w:asciiTheme="minorAscii" w:hAnsiTheme="minorAscii"/>
                <w:color w:val="000000"/>
                <w:sz w:val="24"/>
                <w:szCs w:val="24"/>
                <w:lang w:eastAsia="zh-CN"/>
              </w:rPr>
              <w:t xml:space="preserve">understand the </w:t>
            </w:r>
            <w:r>
              <w:rPr>
                <w:rFonts w:hint="default" w:cs="Ani" w:asciiTheme="minorAscii" w:hAnsiTheme="minorAscii"/>
                <w:color w:val="000000"/>
                <w:sz w:val="24"/>
                <w:szCs w:val="24"/>
                <w:lang w:val="en" w:eastAsia="zh-CN"/>
              </w:rPr>
              <w:t>importance of healthcare management.</w:t>
            </w:r>
          </w:p>
        </w:tc>
      </w:tr>
    </w:tbl>
    <w:p>
      <w:pPr>
        <w:ind w:left="567" w:hanging="567"/>
        <w:jc w:val="both"/>
        <w:rPr>
          <w:rFonts w:ascii="Arial" w:hAnsi="Arial" w:cs="Arial"/>
        </w:rPr>
      </w:pPr>
    </w:p>
    <w:p>
      <w:pPr>
        <w:pStyle w:val="2"/>
        <w:rPr>
          <w:rFonts w:ascii="Arial" w:hAnsi="Arial" w:cs="Arial"/>
          <w:caps/>
          <w:sz w:val="24"/>
          <w:szCs w:val="24"/>
          <w:lang w:val="en-AU"/>
        </w:rPr>
      </w:pPr>
      <w:r>
        <w:rPr>
          <w:rFonts w:ascii="Arial" w:hAnsi="Arial" w:cs="Arial"/>
          <w:sz w:val="24"/>
          <w:szCs w:val="24"/>
          <w:lang w:val="en-AU"/>
        </w:rPr>
        <w:t>Practical work</w:t>
      </w:r>
      <w:r>
        <w:rPr>
          <w:rFonts w:ascii="Arial" w:hAnsi="Arial" w:cs="Arial"/>
          <w:caps/>
          <w:sz w:val="24"/>
          <w:szCs w:val="24"/>
          <w:lang w:val="en-AU"/>
        </w:rPr>
        <w:t>:</w:t>
      </w:r>
    </w:p>
    <w:p>
      <w:pPr>
        <w:rPr>
          <w:rFonts w:ascii="Arial" w:hAnsi="Arial" w:cs="Arial"/>
          <w:lang w:val="en-AU"/>
        </w:rPr>
      </w:pPr>
      <w:r>
        <w:rPr>
          <w:rFonts w:ascii="Arial" w:hAnsi="Arial" w:cs="Arial"/>
          <w:lang w:val="en-AU"/>
        </w:rPr>
        <w:t>Document preparation</w:t>
      </w:r>
    </w:p>
    <w:p>
      <w:pPr>
        <w:rPr>
          <w:rFonts w:ascii="Arial" w:hAnsi="Arial" w:cs="Arial"/>
          <w:lang w:val="en-AU"/>
        </w:rPr>
      </w:pPr>
      <w:r>
        <w:rPr>
          <w:rFonts w:ascii="Arial" w:hAnsi="Arial" w:cs="Arial"/>
          <w:lang w:val="en-AU"/>
        </w:rPr>
        <w:t>Case studies in clinical trials</w:t>
      </w:r>
    </w:p>
    <w:p>
      <w:pPr>
        <w:pStyle w:val="2"/>
        <w:rPr>
          <w:rFonts w:ascii="Arial" w:hAnsi="Arial" w:cs="Arial"/>
          <w:sz w:val="24"/>
          <w:szCs w:val="24"/>
          <w:lang w:val="en-AU"/>
        </w:rPr>
      </w:pPr>
      <w:r>
        <w:rPr>
          <w:rFonts w:ascii="Arial" w:hAnsi="Arial" w:cs="Arial"/>
          <w:sz w:val="24"/>
          <w:szCs w:val="24"/>
          <w:lang w:val="en-AU"/>
        </w:rPr>
        <w:t>Lecture/tutorial times</w:t>
      </w:r>
    </w:p>
    <w:p>
      <w:pPr>
        <w:rPr>
          <w:rFonts w:ascii="Arial" w:hAnsi="Arial" w:cs="Arial"/>
          <w:lang w:val="en-AU"/>
        </w:rPr>
      </w:pPr>
      <w:r>
        <w:rPr>
          <w:rFonts w:ascii="Arial" w:hAnsi="Arial" w:cs="Arial"/>
          <w:lang w:val="en-AU"/>
        </w:rPr>
        <w:t>(Give lecture times in the format below)</w:t>
      </w:r>
    </w:p>
    <w:p>
      <w:pPr>
        <w:jc w:val="both"/>
        <w:rPr>
          <w:rFonts w:ascii="Arial" w:hAnsi="Arial" w:cs="Arial"/>
          <w:b/>
          <w:color w:val="C00000"/>
          <w:lang w:val="en-AU"/>
        </w:rPr>
      </w:pPr>
      <w:r>
        <w:rPr>
          <w:rFonts w:ascii="Arial" w:hAnsi="Arial" w:cs="Arial"/>
          <w:b/>
          <w:color w:val="C00000"/>
        </w:rPr>
        <mc:AlternateContent>
          <mc:Choice Requires="wps">
            <w:drawing>
              <wp:anchor distT="0" distB="0" distL="114300" distR="114300" simplePos="0" relativeHeight="251659264" behindDoc="0" locked="0" layoutInCell="1" allowOverlap="1">
                <wp:simplePos x="0" y="0"/>
                <wp:positionH relativeFrom="column">
                  <wp:posOffset>3810</wp:posOffset>
                </wp:positionH>
                <wp:positionV relativeFrom="paragraph">
                  <wp:posOffset>142240</wp:posOffset>
                </wp:positionV>
                <wp:extent cx="6487160" cy="1076325"/>
                <wp:effectExtent l="4445" t="4445" r="23495" b="5080"/>
                <wp:wrapNone/>
                <wp:docPr id="1" name="Text Box 2"/>
                <wp:cNvGraphicFramePr/>
                <a:graphic xmlns:a="http://schemas.openxmlformats.org/drawingml/2006/main">
                  <a:graphicData uri="http://schemas.microsoft.com/office/word/2010/wordprocessingShape">
                    <wps:wsp>
                      <wps:cNvSpPr txBox="1"/>
                      <wps:spPr>
                        <a:xfrm>
                          <a:off x="0" y="0"/>
                          <a:ext cx="6487160" cy="1076325"/>
                        </a:xfrm>
                        <a:prstGeom prst="rect">
                          <a:avLst/>
                        </a:prstGeom>
                        <a:solidFill>
                          <a:srgbClr val="FFFFFF"/>
                        </a:solidFill>
                        <a:ln w="6350" cap="flat" cmpd="sng">
                          <a:solidFill>
                            <a:srgbClr val="000000"/>
                          </a:solidFill>
                          <a:prstDash val="solid"/>
                          <a:miter/>
                          <a:headEnd type="none" w="med" len="med"/>
                          <a:tailEnd type="none" w="med" len="med"/>
                        </a:ln>
                      </wps:spPr>
                      <wps:txb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3 Lectures/week</w:t>
                            </w:r>
                          </w:p>
                        </w:txbxContent>
                      </wps:txbx>
                      <wps:bodyPr upright="1"/>
                    </wps:wsp>
                  </a:graphicData>
                </a:graphic>
              </wp:anchor>
            </w:drawing>
          </mc:Choice>
          <mc:Fallback>
            <w:pict>
              <v:shape id="Text Box 2" o:spid="_x0000_s1026" o:spt="202" type="#_x0000_t202" style="position:absolute;left:0pt;margin-left:0.3pt;margin-top:11.2pt;height:84.75pt;width:510.8pt;z-index:251659264;mso-width-relative:page;mso-height-relative:page;" fillcolor="#FFFFFF" filled="t" stroked="t" coordsize="21600,21600" o:gfxdata="UEsFBgAAAAAAAAAAAAAAAAAAAAAAAFBLAwQKAAAAAACHTuJAAAAAAAAAAAAAAAAABAAAAGRycy9Q&#10;SwMEFAAAAAgAh07iQETTVhrVAAAACAEAAA8AAABkcnMvZG93bnJldi54bWxNj8FqwzAQRO+F/IPY&#10;Qm+NZKWYxLEcSKFQemvqS26KtbFNpZWRlDj9+yqn9jbLDDNv693NWXbFEEdPCoqlAIbUeTNSr6D9&#10;enteA4tJk9HWEyr4wQi7ZvFQ68r4mT7xekg9yyUUK61gSGmqOI/dgE7HpZ+Qsnf2wemUz9BzE/Sc&#10;y53lUoiSOz1SXhj0hK8Ddt+Hi1PwXu7TEVvzYVZy5eeWd+Fso1JPj4XYAkt4S39huONndGgy08lf&#10;yERmFZQ5p0DKF2B3V0gpgZ2y2hQb4E3N/z/Q/AJQSwMEFAAAAAgAh07iQJbIzK7gAQAA6AMAAA4A&#10;AABkcnMvZTJvRG9jLnhtbK1T227bMAx9H9B/EPTe2EnXtDDiFNjS7GXYBrT9AEaSbQG6QVRj5+9H&#10;KVl62R6GYX6QKfLoiDykVneTNWyvImrvWj6f1ZwpJ7zUrm/50+P28pYzTOAkGO9Uyw8K+d364sNq&#10;DI1a+MEbqSIjEofNGFo+pBSaqkIxKAs480E5CnY+Wki0jX0lI4zEbk21qOtlNfooQ/RCIZJ3cwzy&#10;deHvOiXS965DlZhpOeWWyhrLustrtV5B00cIgxanNOAfsrCgHV16ptpAAvYc9W9UVovo0XdpJryt&#10;fNdpoUoNVM28flfNwwBBlVpIHAxnmfD/0Ypv+x+RaUm948yBpRY9qimxT35ii6zOGLAh0EMgWJrI&#10;nZEnP5IzFz110eY/lcMoTjofztpmMkHO5cfbm/mSQoJi8/pmebW4zjzVy/EQMX1R3rJstDxS84qm&#10;sP+K6Qj9Bcm3oTdabrUxZRP73WcT2R6o0dvyndjfwIxjI+VydZ0TAZq3zkAi0wZSAF1f7ntzAl8T&#10;1+X7E3FObAM4HBMoDBkGjdVJxWINCuS9kywdAqns6DnwnIxVkjOj6PVkqyATaPM3SNLOOJIw9+jY&#10;i2ylaTcRTTZ3Xh6ob88h6n4gSUvnCpzGqWh/Gv08r6/3hfTlga5/Al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BYAAABkcnMvUEsBAhQAFAAA&#10;AAgAh07iQETTVhrVAAAACAEAAA8AAAAAAAAAAQAgAAAAOAAAAGRycy9kb3ducmV2LnhtbFBLAQIU&#10;ABQAAAAIAIdO4kCWyMyu4AEAAOgDAAAOAAAAAAAAAAEAIAAAADoBAABkcnMvZTJvRG9jLnhtbFBL&#10;BQYAAAAABgAGAFkBAACMBQAAAAA=&#10;">
                <v:fill on="t" focussize="0,0"/>
                <v:stroke weight="0.5pt" color="#000000" joinstyle="miter"/>
                <v:imagedata o:title=""/>
                <o:lock v:ext="edit" aspectratio="f"/>
                <v:textbox>
                  <w:txbxContent>
                    <w:p>
                      <w:pPr>
                        <w:pBdr>
                          <w:top w:val="single" w:color="auto" w:sz="4" w:space="1"/>
                          <w:left w:val="single" w:color="auto" w:sz="4" w:space="4"/>
                          <w:bottom w:val="single" w:color="auto" w:sz="4" w:space="1"/>
                          <w:right w:val="single" w:color="auto" w:sz="4" w:space="4"/>
                          <w:between w:val="single" w:color="auto" w:sz="4" w:space="1"/>
                        </w:pBdr>
                        <w:rPr>
                          <w:rFonts w:hint="default" w:ascii="Arial" w:hAnsi="Arial" w:cs="Arial"/>
                          <w:color w:val="000000" w:themeColor="text1"/>
                          <w:lang w:val="en"/>
                          <w14:textFill>
                            <w14:solidFill>
                              <w14:schemeClr w14:val="tx1"/>
                            </w14:solidFill>
                          </w14:textFill>
                        </w:rPr>
                      </w:pPr>
                      <w:r>
                        <w:rPr>
                          <w:rFonts w:hint="default" w:ascii="Arial" w:hAnsi="Arial" w:cs="Arial"/>
                          <w:color w:val="000000" w:themeColor="text1"/>
                          <w:lang w:val="en"/>
                          <w14:textFill>
                            <w14:solidFill>
                              <w14:schemeClr w14:val="tx1"/>
                            </w14:solidFill>
                          </w14:textFill>
                        </w:rPr>
                        <w:t>3 Lectures/week</w:t>
                      </w:r>
                    </w:p>
                  </w:txbxContent>
                </v:textbox>
              </v:shape>
            </w:pict>
          </mc:Fallback>
        </mc:AlternateContent>
      </w:r>
    </w:p>
    <w:p>
      <w:pPr>
        <w:pStyle w:val="2"/>
        <w:rPr>
          <w:rFonts w:ascii="Arial" w:hAnsi="Arial" w:cs="Arial"/>
          <w:sz w:val="24"/>
          <w:szCs w:val="24"/>
          <w:lang w:val="en-AU"/>
        </w:rPr>
      </w:pPr>
    </w:p>
    <w:p>
      <w:pPr>
        <w:pStyle w:val="2"/>
        <w:rPr>
          <w:rFonts w:ascii="Arial" w:hAnsi="Arial" w:cs="Arial"/>
          <w:sz w:val="24"/>
          <w:szCs w:val="24"/>
          <w:lang w:val="en-AU"/>
        </w:rPr>
      </w:pPr>
    </w:p>
    <w:p>
      <w:pPr>
        <w:pStyle w:val="2"/>
        <w:rPr>
          <w:rFonts w:ascii="Arial" w:hAnsi="Arial" w:cs="Arial"/>
          <w:sz w:val="24"/>
          <w:szCs w:val="24"/>
          <w:lang w:val="en-AU"/>
        </w:rPr>
      </w:pPr>
      <w:r>
        <w:rPr>
          <w:rFonts w:ascii="Arial" w:hAnsi="Arial" w:cs="Arial"/>
          <w:sz w:val="24"/>
          <w:szCs w:val="24"/>
          <w:lang w:val="en-AU"/>
        </w:rPr>
        <w:t>Attendance Requirements</w:t>
      </w:r>
    </w:p>
    <w:p>
      <w:pPr>
        <w:jc w:val="both"/>
        <w:rPr>
          <w:rFonts w:ascii="Arial" w:hAnsi="Arial" w:cs="Arial"/>
          <w:lang w:val="en-AU"/>
        </w:rPr>
      </w:pPr>
    </w:p>
    <w:p>
      <w:pPr>
        <w:jc w:val="both"/>
        <w:rPr>
          <w:rFonts w:ascii="Arial" w:hAnsi="Arial" w:cs="Arial"/>
          <w:lang w:val="en-AU"/>
        </w:rPr>
      </w:pPr>
      <w:r>
        <w:rPr>
          <w:rFonts w:ascii="Arial" w:hAnsi="Arial" w:cs="Arial"/>
          <w:lang w:val="en-AU"/>
        </w:rPr>
        <w:t>The University norms states that it is the responsibility of students to attend all lectures, tutorials, seminars and practical work as stipulated in the Course outline. Minimum attendance requirement as per university norms is compulsory for being eligible for mid and end semester examinations.</w:t>
      </w:r>
    </w:p>
    <w:p>
      <w:pPr>
        <w:pStyle w:val="2"/>
        <w:spacing w:line="360" w:lineRule="auto"/>
        <w:rPr>
          <w:rFonts w:ascii="Arial" w:hAnsi="Arial" w:cs="Arial"/>
          <w:sz w:val="24"/>
          <w:szCs w:val="24"/>
        </w:rPr>
      </w:pPr>
      <w:r>
        <w:rPr>
          <w:rFonts w:ascii="Arial" w:hAnsi="Arial" w:cs="Arial"/>
          <w:sz w:val="24"/>
          <w:szCs w:val="24"/>
        </w:rPr>
        <w:t>Details of referencing system to be used in written work</w:t>
      </w:r>
    </w:p>
    <w:p>
      <w:pPr>
        <w:spacing w:after="0"/>
        <w:jc w:val="both"/>
        <w:rPr>
          <w:rFonts w:ascii="Times New Roman" w:hAnsi="Times New Roman"/>
          <w:sz w:val="21"/>
          <w:szCs w:val="21"/>
        </w:rPr>
      </w:pPr>
      <w:r>
        <w:rPr>
          <w:rFonts w:ascii="Times New Roman" w:hAnsi="Times New Roman"/>
          <w:sz w:val="21"/>
          <w:szCs w:val="21"/>
        </w:rPr>
        <w:t>1. S.L. Goel, Healthcare Management and Administration, Deep &amp; Deep Publications Pvt. Ltd. New Delhi.</w:t>
      </w:r>
    </w:p>
    <w:p>
      <w:pPr>
        <w:spacing w:after="0"/>
        <w:jc w:val="both"/>
        <w:rPr>
          <w:rFonts w:ascii="Times New Roman" w:hAnsi="Times New Roman"/>
          <w:sz w:val="21"/>
          <w:szCs w:val="21"/>
        </w:rPr>
      </w:pPr>
      <w:r>
        <w:rPr>
          <w:rFonts w:ascii="Times New Roman" w:hAnsi="Times New Roman"/>
          <w:sz w:val="21"/>
          <w:szCs w:val="21"/>
        </w:rPr>
        <w:t>2. Srinivasan, A.V. (ed.), Managing a Modern Hospital, Chapter 12, Response Books, New Delhi, 2000.</w:t>
      </w:r>
    </w:p>
    <w:p>
      <w:pPr>
        <w:spacing w:line="360" w:lineRule="auto"/>
        <w:jc w:val="both"/>
        <w:rPr>
          <w:rFonts w:hint="default" w:ascii="Arial" w:hAnsi="Arial" w:cs="Arial"/>
          <w:bCs/>
          <w:lang w:val="en"/>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r>
        <w:rPr>
          <w:rFonts w:ascii="Arial" w:hAnsi="Arial" w:cs="Arial"/>
          <w:b/>
          <w:color w:val="558ED5" w:themeColor="text2" w:themeTint="99"/>
          <w:sz w:val="24"/>
          <w:szCs w:val="24"/>
          <w14:textFill>
            <w14:solidFill>
              <w14:schemeClr w14:val="tx2">
                <w14:lumMod w14:val="60000"/>
                <w14:lumOff w14:val="40000"/>
              </w14:schemeClr>
            </w14:solidFill>
          </w14:textFill>
        </w:rPr>
        <w:t>Additional Materials</w:t>
      </w: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pStyle w:val="17"/>
        <w:tabs>
          <w:tab w:val="left" w:pos="3280"/>
        </w:tabs>
        <w:jc w:val="both"/>
        <w:rPr>
          <w:rFonts w:ascii="Arial" w:hAnsi="Arial" w:cs="Arial"/>
          <w:b/>
          <w:color w:val="558ED5" w:themeColor="text2" w:themeTint="99"/>
          <w:sz w:val="24"/>
          <w:szCs w:val="24"/>
          <w14:textFill>
            <w14:solidFill>
              <w14:schemeClr w14:val="tx2">
                <w14:lumMod w14:val="60000"/>
                <w14:lumOff w14:val="40000"/>
              </w14:schemeClr>
            </w14:solidFill>
          </w14:textFill>
        </w:rPr>
      </w:pPr>
    </w:p>
    <w:p>
      <w:pPr>
        <w:rPr>
          <w:rFonts w:ascii="Arial" w:hAnsi="Arial" w:cs="Arial"/>
          <w:lang w:val="en-AU"/>
        </w:rPr>
      </w:pPr>
      <w:r>
        <w:rPr>
          <w:rFonts w:ascii="Arial" w:hAnsi="Arial" w:cs="Arial"/>
          <w:lang w:val="en-AU"/>
        </w:rPr>
        <w:t>Notes and PPT assessment guidelines</w:t>
      </w:r>
    </w:p>
    <w:p>
      <w:pPr>
        <w:rPr>
          <w:rFonts w:ascii="Arial" w:hAnsi="Arial" w:cs="Arial"/>
          <w:lang w:val="en-AU"/>
        </w:rPr>
      </w:pPr>
    </w:p>
    <w:p>
      <w:pPr>
        <w:ind w:left="2820" w:hanging="2820"/>
        <w:jc w:val="both"/>
        <w:rPr>
          <w:rFonts w:ascii="Arial" w:hAnsi="Arial" w:cs="Arial"/>
          <w:bCs/>
          <w:lang w:val="en-AU"/>
        </w:rPr>
      </w:pPr>
      <w:r>
        <w:rPr>
          <w:rFonts w:ascii="Arial" w:hAnsi="Arial" w:cs="Arial"/>
          <w:bCs/>
          <w:lang w:val="en-AU"/>
        </w:rPr>
        <w:t>Your final course mark will be calculated from the following:</w:t>
      </w:r>
    </w:p>
    <w:p>
      <w:pPr>
        <w:ind w:left="2820" w:hanging="2820"/>
        <w:jc w:val="both"/>
        <w:rPr>
          <w:rFonts w:ascii="Arial" w:hAnsi="Arial" w:cs="Arial"/>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lang w:val="en-AU"/>
        </w:rPr>
      </w:pPr>
    </w:p>
    <w:p>
      <w:pPr>
        <w:ind w:left="2820" w:hanging="2820"/>
        <w:jc w:val="both"/>
        <w:rPr>
          <w:rFonts w:ascii="Arial" w:hAnsi="Arial" w:cs="Arial"/>
          <w:b/>
          <w:bCs/>
          <w:color w:val="4F81BD" w:themeColor="accent1"/>
          <w:lang w:val="en-AU"/>
          <w14:textFill>
            <w14:solidFill>
              <w14:schemeClr w14:val="accent1"/>
            </w14:solidFill>
          </w14:textFill>
        </w:rPr>
      </w:pPr>
      <w:r>
        <w:rPr>
          <w:rFonts w:ascii="Arial" w:hAnsi="Arial" w:cs="Arial"/>
          <w:b/>
          <w:bCs/>
          <w:color w:val="4F81BD" w:themeColor="accent1"/>
          <w:lang w:val="en-AU"/>
          <w14:textFill>
            <w14:solidFill>
              <w14:schemeClr w14:val="accent1"/>
            </w14:solidFill>
          </w14:textFill>
        </w:rPr>
        <w:t>Assessment guidelines</w:t>
      </w: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tbl>
      <w:tblPr>
        <w:tblStyle w:val="6"/>
        <w:tblpPr w:leftFromText="180" w:rightFromText="180" w:vertAnchor="text" w:horzAnchor="page" w:tblpX="1947" w:tblpY="-15"/>
        <w:tblOverlap w:val="never"/>
        <w:tblW w:w="96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956"/>
        <w:gridCol w:w="1021"/>
        <w:gridCol w:w="881"/>
        <w:gridCol w:w="1372"/>
        <w:gridCol w:w="1372"/>
        <w:gridCol w:w="1260"/>
        <w:gridCol w:w="1260"/>
        <w:gridCol w:w="32"/>
        <w:gridCol w:w="6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gridSpan w:val="10"/>
            <w:noWrap w:val="0"/>
            <w:vAlign w:val="top"/>
          </w:tcPr>
          <w:p>
            <w:pPr>
              <w:pStyle w:val="28"/>
              <w:spacing w:line="259" w:lineRule="auto"/>
              <w:jc w:val="center"/>
              <w:rPr>
                <w:rFonts w:ascii="Times New Roman" w:hAnsi="Times New Roman"/>
                <w:b/>
                <w:color w:val="000000"/>
                <w:sz w:val="20"/>
                <w:szCs w:val="20"/>
                <w:lang w:eastAsia="en-US"/>
              </w:rPr>
            </w:pPr>
          </w:p>
          <w:p>
            <w:pPr>
              <w:pStyle w:val="28"/>
              <w:spacing w:line="259" w:lineRule="auto"/>
              <w:jc w:val="center"/>
              <w:rPr>
                <w:rFonts w:ascii="Times New Roman" w:hAnsi="Times New Roman"/>
                <w:b/>
                <w:color w:val="000000"/>
                <w:sz w:val="20"/>
                <w:szCs w:val="20"/>
                <w:lang w:eastAsia="en-US"/>
              </w:rPr>
            </w:pPr>
            <w:r>
              <w:rPr>
                <w:rFonts w:ascii="Times New Roman" w:hAnsi="Times New Roman"/>
                <w:b/>
                <w:color w:val="000000"/>
                <w:sz w:val="20"/>
                <w:szCs w:val="20"/>
                <w:lang w:eastAsia="en-US"/>
              </w:rPr>
              <w:t xml:space="preserve">Subject : </w:t>
            </w:r>
            <w:r>
              <w:rPr>
                <w:rFonts w:ascii="Times New Roman" w:hAnsi="Times New Roman" w:eastAsia="Times New Roman"/>
                <w:b/>
                <w:color w:val="000000"/>
                <w:sz w:val="20"/>
                <w:szCs w:val="20"/>
              </w:rPr>
              <w:t>Healthcare Administration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2828" w:type="dxa"/>
            <w:gridSpan w:val="3"/>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Program : B.Sc-Clinical Research and Healthcare Management</w:t>
            </w:r>
          </w:p>
        </w:tc>
        <w:tc>
          <w:tcPr>
            <w:tcW w:w="3625" w:type="dxa"/>
            <w:gridSpan w:val="3"/>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Subject Code : UCR0505</w:t>
            </w:r>
          </w:p>
        </w:tc>
        <w:tc>
          <w:tcPr>
            <w:tcW w:w="3187" w:type="dxa"/>
            <w:gridSpan w:val="4"/>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Semester : 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9640" w:type="dxa"/>
            <w:gridSpan w:val="10"/>
            <w:noWrap w:val="0"/>
            <w:vAlign w:val="top"/>
          </w:tcPr>
          <w:p>
            <w:pPr>
              <w:pStyle w:val="28"/>
              <w:spacing w:line="259" w:lineRule="auto"/>
              <w:rPr>
                <w:rFonts w:ascii="Times New Roman" w:hAnsi="Times New Roman"/>
                <w:b/>
                <w:color w:val="000000"/>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2828" w:type="dxa"/>
            <w:gridSpan w:val="3"/>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Teaching Scheme</w:t>
            </w:r>
          </w:p>
        </w:tc>
        <w:tc>
          <w:tcPr>
            <w:tcW w:w="6177" w:type="dxa"/>
            <w:gridSpan w:val="6"/>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Examination Evaluation Scheme</w:t>
            </w:r>
          </w:p>
        </w:tc>
        <w:tc>
          <w:tcPr>
            <w:tcW w:w="635" w:type="dxa"/>
            <w:noWrap w:val="0"/>
            <w:vAlign w:val="top"/>
          </w:tcPr>
          <w:p>
            <w:pPr>
              <w:pStyle w:val="28"/>
              <w:spacing w:line="259" w:lineRule="auto"/>
              <w:rPr>
                <w:rFonts w:ascii="Times New Roman" w:hAnsi="Times New Roman"/>
                <w:b/>
                <w:color w:val="000000"/>
                <w:sz w:val="20"/>
                <w:szCs w:val="20"/>
                <w:lang w:eastAsia="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noWrap w:val="0"/>
            <w:vAlign w:val="top"/>
          </w:tcPr>
          <w:p>
            <w:pPr>
              <w:pStyle w:val="28"/>
              <w:spacing w:line="259" w:lineRule="auto"/>
              <w:ind w:right="-108"/>
              <w:rPr>
                <w:rFonts w:ascii="Times New Roman" w:hAnsi="Times New Roman"/>
                <w:b/>
                <w:color w:val="000000"/>
                <w:sz w:val="20"/>
                <w:szCs w:val="20"/>
                <w:lang w:eastAsia="en-US"/>
              </w:rPr>
            </w:pPr>
            <w:r>
              <w:rPr>
                <w:rFonts w:ascii="Times New Roman" w:hAnsi="Times New Roman"/>
                <w:b/>
                <w:color w:val="000000"/>
                <w:sz w:val="20"/>
                <w:szCs w:val="20"/>
                <w:lang w:eastAsia="en-US"/>
              </w:rPr>
              <w:t>Lecture</w:t>
            </w:r>
          </w:p>
        </w:tc>
        <w:tc>
          <w:tcPr>
            <w:tcW w:w="956" w:type="dxa"/>
            <w:noWrap w:val="0"/>
            <w:vAlign w:val="top"/>
          </w:tcPr>
          <w:p>
            <w:pPr>
              <w:pStyle w:val="28"/>
              <w:spacing w:line="259" w:lineRule="auto"/>
              <w:ind w:right="-144"/>
              <w:rPr>
                <w:rFonts w:ascii="Times New Roman" w:hAnsi="Times New Roman"/>
                <w:b/>
                <w:color w:val="000000"/>
                <w:sz w:val="20"/>
                <w:szCs w:val="20"/>
                <w:lang w:eastAsia="en-US"/>
              </w:rPr>
            </w:pPr>
            <w:r>
              <w:rPr>
                <w:rFonts w:ascii="Times New Roman" w:hAnsi="Times New Roman"/>
                <w:b/>
                <w:color w:val="000000"/>
                <w:sz w:val="20"/>
                <w:szCs w:val="20"/>
                <w:lang w:eastAsia="en-US"/>
              </w:rPr>
              <w:t>Tutorial</w:t>
            </w:r>
          </w:p>
        </w:tc>
        <w:tc>
          <w:tcPr>
            <w:tcW w:w="1021"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Practical</w:t>
            </w:r>
          </w:p>
        </w:tc>
        <w:tc>
          <w:tcPr>
            <w:tcW w:w="881"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Credits</w:t>
            </w:r>
          </w:p>
        </w:tc>
        <w:tc>
          <w:tcPr>
            <w:tcW w:w="1372"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University Theory Examination</w:t>
            </w:r>
          </w:p>
        </w:tc>
        <w:tc>
          <w:tcPr>
            <w:tcW w:w="1372"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University Practical Examination</w:t>
            </w:r>
          </w:p>
        </w:tc>
        <w:tc>
          <w:tcPr>
            <w:tcW w:w="1260"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Continuous Internal Evaluation (CIE)- Theory</w:t>
            </w:r>
          </w:p>
        </w:tc>
        <w:tc>
          <w:tcPr>
            <w:tcW w:w="1260" w:type="dxa"/>
            <w:noWrap w:val="0"/>
            <w:vAlign w:val="top"/>
          </w:tcPr>
          <w:p>
            <w:pPr>
              <w:pStyle w:val="28"/>
              <w:spacing w:line="259" w:lineRule="auto"/>
              <w:rPr>
                <w:rFonts w:ascii="Times New Roman" w:hAnsi="Times New Roman"/>
                <w:b/>
                <w:color w:val="000000"/>
                <w:sz w:val="20"/>
                <w:szCs w:val="20"/>
                <w:lang w:eastAsia="en-US"/>
              </w:rPr>
            </w:pPr>
            <w:r>
              <w:rPr>
                <w:rFonts w:ascii="Times New Roman" w:hAnsi="Times New Roman"/>
                <w:b/>
                <w:color w:val="000000"/>
                <w:sz w:val="20"/>
                <w:szCs w:val="20"/>
                <w:lang w:eastAsia="en-US"/>
              </w:rPr>
              <w:t>Continuous Internal Evaluation (CIE) - Practical</w:t>
            </w:r>
          </w:p>
        </w:tc>
        <w:tc>
          <w:tcPr>
            <w:tcW w:w="667" w:type="dxa"/>
            <w:gridSpan w:val="2"/>
            <w:noWrap w:val="0"/>
            <w:vAlign w:val="top"/>
          </w:tcPr>
          <w:p>
            <w:pPr>
              <w:pStyle w:val="28"/>
              <w:spacing w:line="259" w:lineRule="auto"/>
              <w:ind w:left="-150" w:right="-108"/>
              <w:jc w:val="center"/>
              <w:rPr>
                <w:rFonts w:ascii="Times New Roman" w:hAnsi="Times New Roman"/>
                <w:b/>
                <w:color w:val="000000"/>
                <w:sz w:val="20"/>
                <w:szCs w:val="20"/>
                <w:lang w:eastAsia="en-US"/>
              </w:rPr>
            </w:pPr>
            <w:r>
              <w:rPr>
                <w:rFonts w:ascii="Times New Roman" w:hAnsi="Times New Roman"/>
                <w:b/>
                <w:color w:val="000000"/>
                <w:sz w:val="20"/>
                <w:szCs w:val="20"/>
                <w:lang w:eastAsia="en-US"/>
              </w:rPr>
              <w:t>Total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51"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3</w:t>
            </w:r>
          </w:p>
        </w:tc>
        <w:tc>
          <w:tcPr>
            <w:tcW w:w="956"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0</w:t>
            </w:r>
          </w:p>
        </w:tc>
        <w:tc>
          <w:tcPr>
            <w:tcW w:w="1021"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0</w:t>
            </w:r>
          </w:p>
        </w:tc>
        <w:tc>
          <w:tcPr>
            <w:tcW w:w="881"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3</w:t>
            </w:r>
          </w:p>
        </w:tc>
        <w:tc>
          <w:tcPr>
            <w:tcW w:w="1372"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40</w:t>
            </w:r>
          </w:p>
        </w:tc>
        <w:tc>
          <w:tcPr>
            <w:tcW w:w="1372" w:type="dxa"/>
            <w:noWrap w:val="0"/>
            <w:vAlign w:val="top"/>
          </w:tcPr>
          <w:p>
            <w:pPr>
              <w:pStyle w:val="28"/>
              <w:spacing w:line="259" w:lineRule="auto"/>
              <w:rPr>
                <w:rFonts w:ascii="Times New Roman" w:hAnsi="Times New Roman"/>
                <w:caps/>
                <w:sz w:val="21"/>
                <w:szCs w:val="21"/>
                <w:lang w:val="en-GB"/>
              </w:rPr>
            </w:pPr>
          </w:p>
        </w:tc>
        <w:tc>
          <w:tcPr>
            <w:tcW w:w="1260" w:type="dxa"/>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60</w:t>
            </w:r>
          </w:p>
        </w:tc>
        <w:tc>
          <w:tcPr>
            <w:tcW w:w="1260" w:type="dxa"/>
            <w:noWrap w:val="0"/>
            <w:vAlign w:val="top"/>
          </w:tcPr>
          <w:p>
            <w:pPr>
              <w:pStyle w:val="28"/>
              <w:spacing w:line="259" w:lineRule="auto"/>
              <w:rPr>
                <w:rFonts w:ascii="Times New Roman" w:hAnsi="Times New Roman"/>
                <w:caps/>
                <w:sz w:val="21"/>
                <w:szCs w:val="21"/>
                <w:lang w:val="en-GB"/>
              </w:rPr>
            </w:pPr>
          </w:p>
        </w:tc>
        <w:tc>
          <w:tcPr>
            <w:tcW w:w="667" w:type="dxa"/>
            <w:gridSpan w:val="2"/>
            <w:noWrap w:val="0"/>
            <w:vAlign w:val="top"/>
          </w:tcPr>
          <w:p>
            <w:pPr>
              <w:pStyle w:val="28"/>
              <w:spacing w:line="259" w:lineRule="auto"/>
              <w:rPr>
                <w:rFonts w:ascii="Times New Roman" w:hAnsi="Times New Roman"/>
                <w:caps/>
                <w:sz w:val="21"/>
                <w:szCs w:val="21"/>
                <w:lang w:val="en-GB"/>
              </w:rPr>
            </w:pPr>
            <w:r>
              <w:rPr>
                <w:rFonts w:ascii="Times New Roman" w:hAnsi="Times New Roman"/>
                <w:caps/>
                <w:sz w:val="21"/>
                <w:szCs w:val="21"/>
                <w:lang w:val="en-GB"/>
              </w:rPr>
              <w:t>100</w:t>
            </w:r>
          </w:p>
        </w:tc>
      </w:tr>
    </w:tbl>
    <w:p>
      <w:pPr>
        <w:ind w:left="2820" w:hanging="2820"/>
        <w:jc w:val="both"/>
        <w:rPr>
          <w:rFonts w:ascii="Arial" w:hAnsi="Arial" w:cs="Arial"/>
          <w:b/>
          <w:bCs/>
          <w:color w:val="4F81BD" w:themeColor="accent1"/>
          <w:lang w:val="en-AU"/>
          <w14:textFill>
            <w14:solidFill>
              <w14:schemeClr w14:val="accent1"/>
            </w14:solidFill>
          </w14:textFill>
        </w:rPr>
      </w:pPr>
    </w:p>
    <w:p>
      <w:pPr>
        <w:ind w:left="2820" w:hanging="2820"/>
        <w:jc w:val="both"/>
        <w:rPr>
          <w:rFonts w:ascii="Arial" w:hAnsi="Arial" w:cs="Arial"/>
          <w:b/>
          <w:bCs/>
          <w:color w:val="4F81BD" w:themeColor="accent1"/>
          <w:lang w:val="en-AU"/>
          <w14:textFill>
            <w14:solidFill>
              <w14:schemeClr w14:val="accent1"/>
            </w14:solidFill>
          </w14:textFill>
        </w:rPr>
      </w:pPr>
    </w:p>
    <w:p>
      <w:pPr>
        <w:pStyle w:val="2"/>
        <w:pBdr>
          <w:top w:val="single" w:color="auto" w:sz="4" w:space="0"/>
          <w:left w:val="single" w:color="auto" w:sz="4" w:space="0"/>
          <w:bottom w:val="single" w:color="auto" w:sz="4" w:space="0"/>
          <w:right w:val="single" w:color="auto" w:sz="4" w:space="0"/>
        </w:pBdr>
        <w:spacing w:line="240" w:lineRule="auto"/>
        <w:ind w:left="838" w:leftChars="349" w:firstLine="560" w:firstLineChars="200"/>
        <w:jc w:val="left"/>
        <w:rPr>
          <w:rFonts w:hint="default" w:ascii="Arial" w:hAnsi="Arial" w:cs="Arial"/>
          <w:b w:val="0"/>
          <w:bCs w:val="0"/>
          <w:color w:val="222222"/>
          <w:sz w:val="28"/>
          <w:szCs w:val="28"/>
          <w:shd w:val="clear" w:color="auto" w:fill="FFFFFF"/>
        </w:rPr>
      </w:pPr>
      <w:r>
        <w:rPr>
          <w:rFonts w:hint="default" w:ascii="Arial" w:hAnsi="Arial" w:cs="Arial"/>
          <w:b w:val="0"/>
          <w:bCs w:val="0"/>
          <w:color w:val="222222"/>
          <w:sz w:val="28"/>
          <w:szCs w:val="28"/>
          <w:shd w:val="clear" w:color="auto" w:fill="FFFFFF"/>
        </w:rPr>
        <w:t>Mid sem exam 40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Attendance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Presentation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Assignment 1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Assigment 2 05 marks</w:t>
      </w:r>
      <w:r>
        <w:rPr>
          <w:rFonts w:hint="default" w:ascii="Arial" w:hAnsi="Arial" w:cs="Arial"/>
          <w:b w:val="0"/>
          <w:bCs w:val="0"/>
          <w:color w:val="222222"/>
          <w:sz w:val="28"/>
          <w:szCs w:val="28"/>
          <w:shd w:val="clear" w:color="auto" w:fill="FFFFFF"/>
          <w:lang w:val="en"/>
        </w:rPr>
        <w:t xml:space="preserve">                                                                 </w:t>
      </w:r>
      <w:r>
        <w:rPr>
          <w:rFonts w:hint="default" w:ascii="Arial" w:hAnsi="Arial" w:cs="Arial"/>
          <w:b w:val="0"/>
          <w:bCs w:val="0"/>
          <w:color w:val="222222"/>
          <w:sz w:val="28"/>
          <w:szCs w:val="28"/>
          <w:shd w:val="clear" w:color="auto" w:fill="FFFFFF"/>
          <w:lang w:val="en"/>
        </w:rPr>
        <w:tab/>
      </w:r>
      <w:r>
        <w:rPr>
          <w:rFonts w:hint="default" w:ascii="Arial" w:hAnsi="Arial" w:cs="Arial"/>
          <w:b w:val="0"/>
          <w:bCs w:val="0"/>
          <w:color w:val="222222"/>
          <w:sz w:val="28"/>
          <w:szCs w:val="28"/>
          <w:shd w:val="clear" w:color="auto" w:fill="FFFFFF"/>
        </w:rPr>
        <w:t>Final exam 40 marks</w:t>
      </w:r>
    </w:p>
    <w:p>
      <w:pPr>
        <w:ind w:left="2820" w:hanging="2820"/>
        <w:jc w:val="both"/>
        <w:rPr>
          <w:rFonts w:ascii="Arial" w:hAnsi="Arial" w:cs="Arial"/>
          <w:bCs/>
          <w:lang w:val="en-AU"/>
        </w:rPr>
      </w:pPr>
    </w:p>
    <w:p>
      <w:pPr>
        <w:pStyle w:val="2"/>
        <w:rPr>
          <w:rFonts w:ascii="Arial" w:hAnsi="Arial" w:cs="Arial"/>
          <w:sz w:val="24"/>
          <w:szCs w:val="24"/>
          <w:lang w:val="en-AU"/>
        </w:rPr>
      </w:pPr>
      <w:r>
        <w:rPr>
          <w:rFonts w:ascii="Arial" w:hAnsi="Arial" w:cs="Arial"/>
          <w:sz w:val="24"/>
          <w:szCs w:val="24"/>
          <w:lang w:val="en-AU"/>
        </w:rPr>
        <w:t>SUPPLEMENTARY ASSESSMENT</w:t>
      </w:r>
    </w:p>
    <w:p>
      <w:pPr>
        <w:rPr>
          <w:lang w:val="en-AU"/>
        </w:rPr>
      </w:pPr>
    </w:p>
    <w:p>
      <w:pPr>
        <w:jc w:val="both"/>
        <w:rPr>
          <w:rFonts w:ascii="Arial" w:hAnsi="Arial" w:cs="Arial"/>
          <w:lang w:val="en-AU"/>
        </w:rPr>
      </w:pPr>
      <w:r>
        <w:rPr>
          <w:rFonts w:ascii="Arial" w:hAnsi="Arial" w:cs="Arial"/>
          <w:lang w:val="en-AU"/>
        </w:rPr>
        <w:t>Students who receive an overall mark less than 40% in mid semester or end semester will be considered for supplementary assessment in the respective components (i.e mid semester or end semester) of semester concerned. Students must make themselves available during the supplementary examination period to take up the respective components (mid semester or end semester) and need to obtain the required minimum 50% marks to clear the concerned components.</w:t>
      </w:r>
    </w:p>
    <w:p>
      <w:pPr>
        <w:pStyle w:val="2"/>
        <w:rPr>
          <w:rFonts w:ascii="Arial" w:hAnsi="Arial" w:cs="Arial"/>
          <w:sz w:val="24"/>
          <w:szCs w:val="24"/>
          <w:lang w:val="en-AU"/>
        </w:rPr>
      </w:pPr>
      <w:r>
        <w:rPr>
          <w:rFonts w:ascii="Arial" w:hAnsi="Arial" w:cs="Arial"/>
          <w:sz w:val="24"/>
          <w:szCs w:val="24"/>
          <w:lang w:val="en-AU"/>
        </w:rPr>
        <w:t>Practical Work Report/Laboratory Report:</w:t>
      </w:r>
    </w:p>
    <w:p>
      <w:pPr>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A report on the practical work is due the subsequent week after completion of the class by each group.</w:t>
      </w:r>
    </w:p>
    <w:p>
      <w:pPr>
        <w:pStyle w:val="2"/>
        <w:rPr>
          <w:rFonts w:ascii="Arial" w:hAnsi="Arial" w:cs="Arial"/>
          <w:caps/>
          <w:sz w:val="24"/>
          <w:szCs w:val="24"/>
          <w:lang w:val="en-AU"/>
        </w:rPr>
      </w:pPr>
      <w:r>
        <w:rPr>
          <w:rFonts w:ascii="Arial" w:hAnsi="Arial" w:cs="Arial"/>
          <w:sz w:val="24"/>
          <w:szCs w:val="24"/>
          <w:lang w:val="en-AU"/>
        </w:rPr>
        <w:t>Late Work</w:t>
      </w:r>
    </w:p>
    <w:p>
      <w:pPr>
        <w:ind w:hanging="1"/>
        <w:jc w:val="both"/>
        <w:rPr>
          <w:rFonts w:ascii="Arial" w:hAnsi="Arial" w:cs="Arial"/>
          <w:color w:val="000000" w:themeColor="text1"/>
          <w:lang w:val="en-AU"/>
          <w14:textFill>
            <w14:solidFill>
              <w14:schemeClr w14:val="tx1"/>
            </w14:solidFill>
          </w14:textFill>
        </w:rPr>
      </w:pPr>
      <w:r>
        <w:rPr>
          <w:rFonts w:ascii="Arial" w:hAnsi="Arial" w:cs="Arial"/>
          <w:color w:val="000000" w:themeColor="text1"/>
          <w:lang w:val="en-AU"/>
          <w14:textFill>
            <w14:solidFill>
              <w14:schemeClr w14:val="tx1"/>
            </w14:solidFill>
          </w14:textFill>
        </w:rPr>
        <w:t>Late assignments will not be accepted without supporting documentation.  Late submission of the reports will result in a deduction of -% of the maximum mark per calendar day</w:t>
      </w:r>
    </w:p>
    <w:p>
      <w:pPr>
        <w:pStyle w:val="2"/>
        <w:rPr>
          <w:rFonts w:ascii="Arial" w:hAnsi="Arial" w:cs="Arial"/>
          <w:sz w:val="24"/>
          <w:szCs w:val="24"/>
        </w:rPr>
      </w:pPr>
      <w:r>
        <w:rPr>
          <w:rFonts w:ascii="Arial" w:hAnsi="Arial" w:cs="Arial"/>
          <w:sz w:val="24"/>
          <w:szCs w:val="24"/>
        </w:rPr>
        <w:t>Format</w:t>
      </w:r>
    </w:p>
    <w:p>
      <w:pPr>
        <w:tabs>
          <w:tab w:val="left" w:pos="1980"/>
        </w:tabs>
        <w:jc w:val="both"/>
        <w:rPr>
          <w:rFonts w:ascii="Arial" w:hAnsi="Arial" w:cs="Arial"/>
          <w:color w:val="000000" w:themeColor="text1"/>
          <w14:textFill>
            <w14:solidFill>
              <w14:schemeClr w14:val="tx1"/>
            </w14:solidFill>
          </w14:textFill>
        </w:rPr>
      </w:pPr>
      <w:r>
        <w:rPr>
          <w:rFonts w:ascii="Arial" w:hAnsi="Arial" w:cs="Arial"/>
          <w:color w:val="000000" w:themeColor="text1"/>
          <w14:textFill>
            <w14:solidFill>
              <w14:schemeClr w14:val="tx1"/>
            </w14:solidFill>
          </w14:textFill>
        </w:rPr>
        <w:t xml:space="preserve">All assignments must be presented in a neat, legible format with all information sources correctly referenced.  </w:t>
      </w:r>
      <w:r>
        <w:rPr>
          <w:rFonts w:ascii="Arial" w:hAnsi="Arial" w:cs="Arial"/>
          <w:b/>
          <w:bCs/>
          <w:color w:val="000000" w:themeColor="text1"/>
          <w14:textFill>
            <w14:solidFill>
              <w14:schemeClr w14:val="tx1"/>
            </w14:solidFill>
          </w14:textFill>
        </w:rPr>
        <w:t>Assignment material handed in throughout the session that is not neat and legible will not be marked and will be returned to the student.</w:t>
      </w:r>
    </w:p>
    <w:p>
      <w:pPr>
        <w:pStyle w:val="2"/>
        <w:rPr>
          <w:rFonts w:ascii="Arial" w:hAnsi="Arial" w:cs="Arial"/>
          <w:sz w:val="24"/>
          <w:szCs w:val="24"/>
        </w:rPr>
      </w:pPr>
      <w:r>
        <w:rPr>
          <w:rFonts w:ascii="Arial" w:hAnsi="Arial" w:cs="Arial"/>
          <w:sz w:val="24"/>
          <w:szCs w:val="24"/>
        </w:rPr>
        <w:t>Retention of Written Work</w:t>
      </w:r>
    </w:p>
    <w:p>
      <w:pPr>
        <w:jc w:val="both"/>
        <w:rPr>
          <w:rFonts w:ascii="Arial" w:hAnsi="Arial" w:cs="Arial"/>
          <w:bCs/>
        </w:rPr>
      </w:pPr>
      <w:r>
        <w:rPr>
          <w:rFonts w:ascii="Arial" w:hAnsi="Arial" w:cs="Arial"/>
          <w:bCs/>
        </w:rPr>
        <w:t xml:space="preserve">Written assessment work will be retained by the Course coordinator/lecturer for two weeks after marking to be collected by the students. </w:t>
      </w:r>
    </w:p>
    <w:p>
      <w:pPr>
        <w:pStyle w:val="2"/>
        <w:rPr>
          <w:rFonts w:ascii="Arial" w:hAnsi="Arial" w:cs="Arial"/>
          <w:sz w:val="24"/>
          <w:szCs w:val="24"/>
          <w:lang w:val="en-AU"/>
        </w:rPr>
      </w:pPr>
      <w:r>
        <w:rPr>
          <w:rFonts w:ascii="Arial" w:hAnsi="Arial" w:cs="Arial"/>
          <w:sz w:val="24"/>
          <w:szCs w:val="24"/>
          <w:lang w:val="en-AU"/>
        </w:rPr>
        <w:t>University and Faculty Policies</w:t>
      </w:r>
    </w:p>
    <w:p>
      <w:pPr>
        <w:pStyle w:val="20"/>
        <w:rPr>
          <w:rFonts w:ascii="Arial" w:hAnsi="Arial" w:cs="Arial"/>
          <w:b/>
          <w:color w:val="FF0000"/>
          <w:szCs w:val="24"/>
          <w:lang w:val="en-AU"/>
        </w:rPr>
      </w:pPr>
      <w:r>
        <w:rPr>
          <w:rFonts w:ascii="Arial" w:hAnsi="Arial" w:cs="Arial"/>
          <w:szCs w:val="24"/>
          <w:lang w:val="en-AU"/>
        </w:rPr>
        <w:t xml:space="preserve">Students should make themselves aware of the University and/or Faculty Policies regarding plagiarism, special consideration, supplementary examinations and other educational issues and student matters. </w:t>
      </w:r>
    </w:p>
    <w:p>
      <w:pPr>
        <w:rPr>
          <w:rFonts w:ascii="Arial" w:hAnsi="Arial" w:cs="Arial"/>
        </w:rPr>
      </w:pPr>
    </w:p>
    <w:p>
      <w:pPr>
        <w:ind w:hanging="1"/>
        <w:jc w:val="both"/>
        <w:rPr>
          <w:rFonts w:ascii="Arial" w:hAnsi="Arial" w:cs="Arial"/>
          <w:lang w:val="en-AU"/>
        </w:rPr>
      </w:pPr>
      <w:r>
        <w:rPr>
          <w:rFonts w:ascii="Arial" w:hAnsi="Arial" w:cs="Arial"/>
          <w:b/>
          <w:lang w:val="en-AU"/>
        </w:rPr>
        <w:t>Plagi</w:t>
      </w:r>
      <w:r>
        <w:rPr>
          <w:rFonts w:ascii="Arial" w:hAnsi="Arial" w:cs="Arial"/>
          <w:bCs/>
          <w:lang w:val="en-AU"/>
        </w:rPr>
        <w:t>a</w:t>
      </w:r>
      <w:r>
        <w:rPr>
          <w:rFonts w:ascii="Arial" w:hAnsi="Arial" w:cs="Arial"/>
          <w:b/>
          <w:lang w:val="en-AU"/>
        </w:rPr>
        <w:t>rism</w:t>
      </w:r>
      <w:r>
        <w:rPr>
          <w:rFonts w:ascii="Arial" w:hAnsi="Arial" w:cs="Arial"/>
        </w:rPr>
        <w:t xml:space="preserve"> - Plagiarism is not acceptable and may result in the imposition of severe penalties.   Plagiarism is the use of another person’s work, or idea, as if it is his or her own - if you have any doubts at all on what constitutes plagiarism, please consult your Course coordinator or lecturer. Plagiarism will be penalized severely. </w:t>
      </w:r>
    </w:p>
    <w:p>
      <w:pPr>
        <w:rPr>
          <w:rFonts w:ascii="Arial" w:hAnsi="Arial" w:cs="Arial"/>
          <w:b/>
          <w:bCs/>
          <w:i/>
          <w:iCs/>
        </w:rPr>
      </w:pPr>
    </w:p>
    <w:p>
      <w:pPr>
        <w:rPr>
          <w:rFonts w:ascii="Arial" w:hAnsi="Arial" w:cs="Arial"/>
          <w:b/>
          <w:bCs/>
          <w:i/>
          <w:iCs/>
        </w:rPr>
      </w:pPr>
      <w:r>
        <w:rPr>
          <w:rFonts w:ascii="Arial" w:hAnsi="Arial" w:cs="Arial"/>
          <w:b/>
          <w:bCs/>
          <w:i/>
          <w:iCs/>
        </w:rPr>
        <w:t xml:space="preserve">Do not copy the work of other students. </w:t>
      </w:r>
    </w:p>
    <w:p>
      <w:pPr>
        <w:rPr>
          <w:b/>
          <w:bCs/>
          <w:i/>
          <w:iCs/>
        </w:rPr>
        <w:sectPr>
          <w:headerReference r:id="rId3" w:type="default"/>
          <w:footerReference r:id="rId4" w:type="default"/>
          <w:pgSz w:w="11900" w:h="16840"/>
          <w:pgMar w:top="1394" w:right="1134" w:bottom="567" w:left="1134" w:header="284" w:footer="567" w:gutter="0"/>
          <w:pgNumType w:start="1"/>
          <w:cols w:space="720" w:num="1"/>
        </w:sectPr>
      </w:pPr>
      <w:r>
        <w:rPr>
          <w:rFonts w:ascii="Arial" w:hAnsi="Arial" w:cs="Arial"/>
          <w:b/>
          <w:bCs/>
          <w:i/>
          <w:iCs/>
        </w:rPr>
        <w:t>Do not share your work with other students (except where required for a group activity or assessment)</w:t>
      </w:r>
    </w:p>
    <w:p>
      <w:pPr>
        <w:rPr>
          <w:b/>
          <w:bCs/>
          <w:i/>
          <w:iCs/>
        </w:rPr>
      </w:pPr>
      <w:r>
        <w:rPr>
          <w:b/>
          <w:bCs/>
          <w:i/>
          <w:iCs/>
        </w:rPr>
        <w:t>.</w:t>
      </w:r>
    </w:p>
    <w:p>
      <w:pPr>
        <w:pStyle w:val="2"/>
        <w:rPr>
          <w:lang w:val="en-AU"/>
        </w:rPr>
      </w:pPr>
      <w:r>
        <w:rPr>
          <w:lang w:val="en-AU"/>
        </w:rPr>
        <w:t>Course schedule(subject to change)</w:t>
      </w:r>
    </w:p>
    <w:p>
      <w:pPr>
        <w:rPr>
          <w:b/>
          <w:lang w:val="en-AU"/>
        </w:rPr>
      </w:pPr>
      <w:r>
        <w:rPr>
          <w:b/>
          <w:lang w:val="en-AU"/>
        </w:rPr>
        <w:t>(Mention quiz, assignment submission, breaks</w:t>
      </w:r>
      <w:r>
        <w:rPr>
          <w:rFonts w:hint="default"/>
          <w:b/>
          <w:lang w:val="en"/>
        </w:rPr>
        <w:t xml:space="preserve"> </w:t>
      </w:r>
      <w:r>
        <w:rPr>
          <w:b/>
          <w:lang w:val="en-AU"/>
        </w:rPr>
        <w:t>etc.as well in the table under the Teaching Learning Activity Column)</w:t>
      </w:r>
    </w:p>
    <w:p>
      <w:pPr>
        <w:rPr>
          <w:b/>
          <w:lang w:val="en-AU"/>
        </w:rPr>
      </w:pPr>
    </w:p>
    <w:tbl>
      <w:tblPr>
        <w:tblStyle w:val="19"/>
        <w:tblW w:w="984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2"/>
        <w:gridCol w:w="1409"/>
        <w:gridCol w:w="203"/>
        <w:gridCol w:w="3872"/>
        <w:gridCol w:w="12"/>
        <w:gridCol w:w="1931"/>
        <w:gridCol w:w="11"/>
        <w:gridCol w:w="19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top w:val="single" w:color="auto" w:sz="18" w:space="0"/>
              <w:left w:val="single" w:color="auto" w:sz="18" w:space="0"/>
            </w:tcBorders>
            <w:shd w:val="clear" w:color="auto" w:fill="0F243E" w:themeFill="text2" w:themeFillShade="80"/>
            <w:vAlign w:val="center"/>
          </w:tcPr>
          <w:p>
            <w:pPr>
              <w:jc w:val="center"/>
              <w:rPr>
                <w:rFonts w:ascii="Arial" w:hAnsi="Arial"/>
                <w:b/>
                <w:color w:val="95B3D7" w:themeColor="accent1" w:themeTint="99"/>
                <w14:textFill>
                  <w14:solidFill>
                    <w14:schemeClr w14:val="accent1">
                      <w14:lumMod w14:val="60000"/>
                      <w14:lumOff w14:val="40000"/>
                    </w14:schemeClr>
                  </w14:solidFill>
                </w14:textFill>
              </w:rPr>
            </w:pPr>
          </w:p>
        </w:tc>
        <w:tc>
          <w:tcPr>
            <w:tcW w:w="1409" w:type="dxa"/>
            <w:tcBorders>
              <w:top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Week # </w:t>
            </w:r>
          </w:p>
        </w:tc>
        <w:tc>
          <w:tcPr>
            <w:tcW w:w="4087" w:type="dxa"/>
            <w:gridSpan w:val="3"/>
            <w:tcBorders>
              <w:top w:val="single" w:color="auto" w:sz="18" w:space="0"/>
              <w:right w:val="single" w:color="auto" w:sz="4"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 xml:space="preserve">Topic &amp; contents </w:t>
            </w:r>
          </w:p>
        </w:tc>
        <w:tc>
          <w:tcPr>
            <w:tcW w:w="1942" w:type="dxa"/>
            <w:gridSpan w:val="2"/>
            <w:tcBorders>
              <w:top w:val="single" w:color="auto" w:sz="18" w:space="0"/>
              <w:right w:val="single" w:color="auto" w:sz="4" w:space="0"/>
            </w:tcBorders>
            <w:shd w:val="clear" w:color="auto" w:fill="0F243E" w:themeFill="text2" w:themeFillShade="80"/>
          </w:tcPr>
          <w:p>
            <w:pPr>
              <w:rPr>
                <w:rFonts w:ascii="Arial" w:hAnsi="Arial"/>
                <w:b/>
                <w:color w:val="95B3D7" w:themeColor="accent1" w:themeTint="99"/>
                <w14:textFill>
                  <w14:solidFill>
                    <w14:schemeClr w14:val="accent1">
                      <w14:lumMod w14:val="60000"/>
                      <w14:lumOff w14:val="40000"/>
                    </w14:schemeClr>
                  </w14:solidFill>
                </w14:textFill>
              </w:rPr>
            </w:pPr>
          </w:p>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CO Addressed</w:t>
            </w:r>
          </w:p>
        </w:tc>
        <w:tc>
          <w:tcPr>
            <w:tcW w:w="1998" w:type="dxa"/>
            <w:tcBorders>
              <w:top w:val="single" w:color="auto" w:sz="18" w:space="0"/>
              <w:left w:val="single" w:color="auto" w:sz="4" w:space="0"/>
              <w:right w:val="single" w:color="auto" w:sz="18" w:space="0"/>
            </w:tcBorders>
            <w:shd w:val="clear" w:color="auto" w:fill="0F243E" w:themeFill="text2" w:themeFillShade="80"/>
            <w:vAlign w:val="center"/>
          </w:tcPr>
          <w:p>
            <w:pPr>
              <w:rPr>
                <w:rFonts w:ascii="Arial" w:hAnsi="Arial"/>
                <w:b/>
                <w:color w:val="95B3D7" w:themeColor="accent1" w:themeTint="99"/>
                <w14:textFill>
                  <w14:solidFill>
                    <w14:schemeClr w14:val="accent1">
                      <w14:lumMod w14:val="60000"/>
                      <w14:lumOff w14:val="40000"/>
                    </w14:schemeClr>
                  </w14:solidFill>
                </w14:textFill>
              </w:rPr>
            </w:pPr>
            <w:r>
              <w:rPr>
                <w:rFonts w:ascii="Arial" w:hAnsi="Arial"/>
                <w:b/>
                <w:color w:val="95B3D7" w:themeColor="accent1" w:themeTint="99"/>
                <w14:textFill>
                  <w14:solidFill>
                    <w14:schemeClr w14:val="accent1">
                      <w14:lumMod w14:val="60000"/>
                      <w14:lumOff w14:val="40000"/>
                    </w14:schemeClr>
                  </w14:solidFill>
                </w14:textFill>
              </w:rPr>
              <w:t>Teaching Learning Activity (TLA)</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Weeks 1</w:t>
            </w:r>
          </w:p>
        </w:tc>
        <w:tc>
          <w:tcPr>
            <w:tcW w:w="4087" w:type="dxa"/>
            <w:gridSpan w:val="3"/>
            <w:tcBorders>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b w:val="0"/>
                <w:bCs/>
                <w:sz w:val="21"/>
                <w:szCs w:val="21"/>
              </w:rPr>
              <w:t>Corporate Communication Concept &amp; theory:</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Weeks 2</w:t>
            </w:r>
          </w:p>
        </w:tc>
        <w:tc>
          <w:tcPr>
            <w:tcW w:w="4087" w:type="dxa"/>
            <w:gridSpan w:val="3"/>
            <w:tcBorders>
              <w:bottom w:val="dashSmallGap" w:color="auto" w:sz="4" w:space="0"/>
              <w:right w:val="single" w:color="auto" w:sz="4" w:space="0"/>
            </w:tcBorders>
            <w:vAlign w:val="center"/>
          </w:tcPr>
          <w:p>
            <w:pPr>
              <w:spacing w:after="0"/>
              <w:jc w:val="both"/>
              <w:rPr>
                <w:rFonts w:ascii="Arial" w:hAnsi="Arial" w:cs="Arial"/>
              </w:rPr>
            </w:pPr>
            <w:r>
              <w:rPr>
                <w:rFonts w:ascii="Times New Roman" w:hAnsi="Times New Roman"/>
                <w:sz w:val="21"/>
                <w:szCs w:val="21"/>
              </w:rPr>
              <w:t>Basics of branding, advertising &amp; media communications, Role of administrator in corporate communication, Trends &amp; Limitations in Healthcare advertising &amp; media communications. Concepts &amp; methods of branding &amp; advertising Healthcare services, Use of various media for health service promotions.</w:t>
            </w:r>
          </w:p>
        </w:tc>
        <w:tc>
          <w:tcPr>
            <w:tcW w:w="1942"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4"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3</w:t>
            </w:r>
          </w:p>
        </w:tc>
        <w:tc>
          <w:tcPr>
            <w:tcW w:w="4087" w:type="dxa"/>
            <w:gridSpan w:val="3"/>
            <w:tcBorders>
              <w:top w:val="dashSmallGap" w:color="auto" w:sz="4" w:space="0"/>
              <w:bottom w:val="dashSmallGap" w:color="auto" w:sz="4" w:space="0"/>
              <w:right w:val="single" w:color="auto" w:sz="4" w:space="0"/>
            </w:tcBorders>
            <w:shd w:val="clear" w:color="auto" w:fill="C6D9F0" w:themeFill="text2" w:themeFillTint="33"/>
            <w:vAlign w:val="center"/>
          </w:tcPr>
          <w:p>
            <w:pPr>
              <w:spacing w:after="0"/>
              <w:jc w:val="both"/>
              <w:rPr>
                <w:rFonts w:ascii="Arial" w:hAnsi="Arial" w:cs="Arial"/>
                <w:i/>
              </w:rPr>
            </w:pPr>
            <w:r>
              <w:rPr>
                <w:rFonts w:ascii="Times New Roman" w:hAnsi="Times New Roman"/>
                <w:sz w:val="21"/>
                <w:szCs w:val="21"/>
              </w:rPr>
              <w:t xml:space="preserve">Public Relations: Concept. Definition. Concept of Public. Role of Administration. Need of Public Relations. Public Relations as two way process. Method and Media. Customer Relationship Management, Patient Management &amp; CRM.  </w:t>
            </w:r>
          </w:p>
        </w:tc>
        <w:tc>
          <w:tcPr>
            <w:tcW w:w="1942"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1998" w:type="dxa"/>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tcBorders>
            <w:vAlign w:val="center"/>
          </w:tcPr>
          <w:p>
            <w:pPr>
              <w:rPr>
                <w:rFonts w:ascii="Arial" w:hAnsi="Arial" w:cs="Arial"/>
              </w:rPr>
            </w:pPr>
            <w:r>
              <w:rPr>
                <w:rFonts w:ascii="Arial" w:hAnsi="Arial" w:cs="Arial"/>
              </w:rPr>
              <w:t>Week 4</w:t>
            </w:r>
          </w:p>
        </w:tc>
        <w:tc>
          <w:tcPr>
            <w:tcW w:w="4087" w:type="dxa"/>
            <w:gridSpan w:val="3"/>
            <w:tcBorders>
              <w:top w:val="dashSmallGap" w:color="auto" w:sz="4" w:space="0"/>
              <w:right w:val="single" w:color="auto" w:sz="4" w:space="0"/>
            </w:tcBorders>
            <w:vAlign w:val="center"/>
          </w:tcPr>
          <w:p>
            <w:pPr>
              <w:jc w:val="both"/>
              <w:rPr>
                <w:rFonts w:ascii="Arial" w:hAnsi="Arial" w:cs="Arial"/>
              </w:rPr>
            </w:pPr>
            <w:r>
              <w:rPr>
                <w:rFonts w:ascii="Times New Roman" w:hAnsi="Times New Roman"/>
                <w:b w:val="0"/>
                <w:bCs/>
                <w:sz w:val="21"/>
                <w:szCs w:val="21"/>
                <w:lang w:eastAsia="en-US"/>
              </w:rPr>
              <w:t>International Health Organizations and their role.</w:t>
            </w:r>
            <w:r>
              <w:rPr>
                <w:rFonts w:ascii="Times New Roman" w:hAnsi="Times New Roman"/>
                <w:sz w:val="21"/>
                <w:szCs w:val="21"/>
                <w:lang w:eastAsia="en-US"/>
              </w:rPr>
              <w:t xml:space="preserve"> </w:t>
            </w:r>
          </w:p>
        </w:tc>
        <w:tc>
          <w:tcPr>
            <w:tcW w:w="1942" w:type="dxa"/>
            <w:gridSpan w:val="2"/>
            <w:tcBorders>
              <w:top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1998" w:type="dxa"/>
            <w:tcBorders>
              <w:top w:val="dashSmallGap" w:color="auto" w:sz="4" w:space="0"/>
              <w:left w:val="single"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shd w:val="clear" w:color="auto" w:fill="C6D9F0" w:themeFill="text2" w:themeFillTint="33"/>
            <w:vAlign w:val="center"/>
          </w:tcPr>
          <w:p>
            <w:pPr>
              <w:rPr>
                <w:rFonts w:ascii="Arial" w:hAnsi="Arial" w:cs="Arial"/>
              </w:rPr>
            </w:pPr>
            <w:r>
              <w:rPr>
                <w:rFonts w:ascii="Arial" w:hAnsi="Arial" w:cs="Arial"/>
              </w:rPr>
              <w:t>Week 5</w:t>
            </w:r>
          </w:p>
        </w:tc>
        <w:tc>
          <w:tcPr>
            <w:tcW w:w="4087" w:type="dxa"/>
            <w:gridSpan w:val="3"/>
            <w:tcBorders>
              <w:right w:val="single" w:color="auto" w:sz="4" w:space="0"/>
            </w:tcBorders>
            <w:shd w:val="clear" w:color="auto" w:fill="C6D9F0" w:themeFill="text2" w:themeFillTint="33"/>
            <w:vAlign w:val="center"/>
          </w:tcPr>
          <w:p>
            <w:pPr>
              <w:pStyle w:val="8"/>
              <w:spacing w:after="0" w:line="240" w:lineRule="auto"/>
              <w:rPr>
                <w:rFonts w:ascii="Arial" w:hAnsi="Arial" w:cs="Arial"/>
              </w:rPr>
            </w:pPr>
            <w:r>
              <w:rPr>
                <w:rFonts w:ascii="Times New Roman" w:hAnsi="Times New Roman"/>
                <w:sz w:val="21"/>
                <w:szCs w:val="21"/>
              </w:rPr>
              <w:t xml:space="preserve">International Health Regulations, &amp; International health insurance schemes, Concept of HMO, PPO, TPA, etc, International Aid Agencies in healthcare. </w:t>
            </w:r>
          </w:p>
        </w:tc>
        <w:tc>
          <w:tcPr>
            <w:tcW w:w="1942" w:type="dxa"/>
            <w:gridSpan w:val="2"/>
            <w:tcBorders>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1998" w:type="dxa"/>
            <w:tcBorders>
              <w:left w:val="single"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2024" w:type="dxa"/>
            <w:gridSpan w:val="3"/>
            <w:tcBorders>
              <w:left w:val="single" w:color="auto" w:sz="18" w:space="0"/>
              <w:right w:val="single" w:color="auto" w:sz="18" w:space="0"/>
            </w:tcBorders>
          </w:tcPr>
          <w:p>
            <w:pPr>
              <w:jc w:val="center"/>
              <w:rPr>
                <w:rFonts w:ascii="Arial" w:hAnsi="Arial" w:cs="Arial"/>
                <w:b/>
                <w:color w:val="0033CC"/>
              </w:rPr>
            </w:pPr>
          </w:p>
        </w:tc>
        <w:tc>
          <w:tcPr>
            <w:tcW w:w="7824" w:type="dxa"/>
            <w:gridSpan w:val="5"/>
            <w:tcBorders>
              <w:left w:val="single" w:color="auto" w:sz="18" w:space="0"/>
              <w:right w:val="single" w:color="auto" w:sz="18" w:space="0"/>
            </w:tcBorders>
            <w:vAlign w:val="center"/>
          </w:tcPr>
          <w:p>
            <w:pPr>
              <w:jc w:val="center"/>
              <w:rPr>
                <w:rFonts w:ascii="Arial" w:hAnsi="Arial" w:cs="Arial"/>
                <w:b/>
                <w:color w:val="0033CC"/>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rPr>
                <w:b/>
              </w:rPr>
            </w:pPr>
          </w:p>
        </w:tc>
        <w:tc>
          <w:tcPr>
            <w:tcW w:w="1409" w:type="dxa"/>
            <w:shd w:val="clear" w:color="auto" w:fill="C6D9F0" w:themeFill="text2" w:themeFillTint="33"/>
            <w:vAlign w:val="center"/>
          </w:tcPr>
          <w:p>
            <w:pPr>
              <w:rPr>
                <w:rFonts w:ascii="Arial" w:hAnsi="Arial" w:cs="Arial"/>
              </w:rPr>
            </w:pPr>
            <w:r>
              <w:rPr>
                <w:rFonts w:ascii="Arial" w:hAnsi="Arial" w:cs="Arial"/>
              </w:rPr>
              <w:t>Week 6</w:t>
            </w:r>
          </w:p>
        </w:tc>
        <w:tc>
          <w:tcPr>
            <w:tcW w:w="4075" w:type="dxa"/>
            <w:gridSpan w:val="2"/>
            <w:tcBorders>
              <w:right w:val="single" w:color="auto" w:sz="4" w:space="0"/>
            </w:tcBorders>
            <w:shd w:val="clear" w:color="auto" w:fill="C6D9F0" w:themeFill="text2" w:themeFillTint="33"/>
            <w:vAlign w:val="center"/>
          </w:tcPr>
          <w:p>
            <w:pPr>
              <w:jc w:val="both"/>
              <w:rPr>
                <w:rFonts w:ascii="Arial" w:hAnsi="Arial" w:cs="Arial"/>
                <w:i/>
              </w:rPr>
            </w:pPr>
            <w:r>
              <w:rPr>
                <w:rFonts w:ascii="Times New Roman" w:hAnsi="Times New Roman"/>
                <w:sz w:val="21"/>
                <w:szCs w:val="21"/>
              </w:rPr>
              <w:t>Medical/ Health Insurance, National CommUnity Health Insurance Schemes, Roles of Governments, NGOs, Private Sectors in healthcare financ</w:t>
            </w:r>
            <w:bookmarkStart w:id="0" w:name="_GoBack"/>
            <w:bookmarkEnd w:id="0"/>
            <w:r>
              <w:rPr>
                <w:rFonts w:ascii="Times New Roman" w:hAnsi="Times New Roman"/>
                <w:sz w:val="21"/>
                <w:szCs w:val="21"/>
              </w:rPr>
              <w:t>ing and distribution, national Health Insurance schemes.</w:t>
            </w:r>
          </w:p>
        </w:tc>
        <w:tc>
          <w:tcPr>
            <w:tcW w:w="1943" w:type="dxa"/>
            <w:gridSpan w:val="2"/>
            <w:tcBorders>
              <w:right w:val="single" w:color="auto" w:sz="4" w:space="0"/>
            </w:tcBorders>
            <w:shd w:val="clear" w:color="auto" w:fill="C6D9F0" w:themeFill="text2" w:themeFillTint="33"/>
          </w:tcPr>
          <w:p>
            <w:pPr>
              <w:jc w:val="both"/>
              <w:rPr>
                <w:rFonts w:ascii="Arial" w:hAnsi="Arial" w:cs="Arial"/>
                <w:i/>
              </w:rPr>
            </w:pPr>
            <w:r>
              <w:rPr>
                <w:rFonts w:ascii="Arial" w:hAnsi="Arial" w:cs="Arial"/>
              </w:rPr>
              <w:t>Presentation material</w:t>
            </w:r>
          </w:p>
        </w:tc>
        <w:tc>
          <w:tcPr>
            <w:tcW w:w="2009" w:type="dxa"/>
            <w:gridSpan w:val="2"/>
            <w:tcBorders>
              <w:left w:val="single" w:color="auto" w:sz="4" w:space="0"/>
              <w:right w:val="single" w:color="auto" w:sz="18" w:space="0"/>
            </w:tcBorders>
            <w:shd w:val="clear" w:color="auto" w:fill="C6D9F0" w:themeFill="text2" w:themeFillTint="33"/>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bottom w:val="dashSmallGap" w:color="auto" w:sz="4" w:space="0"/>
            </w:tcBorders>
            <w:vAlign w:val="center"/>
          </w:tcPr>
          <w:p>
            <w:pPr>
              <w:rPr>
                <w:rFonts w:ascii="Arial" w:hAnsi="Arial" w:cs="Arial"/>
              </w:rPr>
            </w:pPr>
            <w:r>
              <w:rPr>
                <w:rFonts w:ascii="Arial" w:hAnsi="Arial" w:cs="Arial"/>
              </w:rPr>
              <w:t>Week 7</w:t>
            </w:r>
          </w:p>
        </w:tc>
        <w:tc>
          <w:tcPr>
            <w:tcW w:w="4075" w:type="dxa"/>
            <w:gridSpan w:val="2"/>
            <w:tcBorders>
              <w:bottom w:val="dashSmallGap" w:color="auto" w:sz="4" w:space="0"/>
              <w:right w:val="single" w:color="auto" w:sz="4" w:space="0"/>
            </w:tcBorders>
            <w:vAlign w:val="center"/>
          </w:tcPr>
          <w:p>
            <w:pPr>
              <w:jc w:val="both"/>
              <w:rPr>
                <w:rFonts w:ascii="Arial" w:hAnsi="Arial" w:cs="Arial"/>
              </w:rPr>
            </w:pPr>
            <w:r>
              <w:rPr>
                <w:rFonts w:ascii="Times New Roman" w:hAnsi="Times New Roman"/>
                <w:sz w:val="21"/>
                <w:szCs w:val="21"/>
              </w:rPr>
              <w:t xml:space="preserve"> </w:t>
            </w:r>
            <w:r>
              <w:rPr>
                <w:rFonts w:ascii="Times New Roman" w:hAnsi="Times New Roman"/>
                <w:b w:val="0"/>
                <w:bCs/>
                <w:sz w:val="21"/>
                <w:szCs w:val="21"/>
                <w:lang w:eastAsia="en-US"/>
              </w:rPr>
              <w:t>Concept and History of Health Tourism and Medical Health Tourism,</w:t>
            </w:r>
          </w:p>
        </w:tc>
        <w:tc>
          <w:tcPr>
            <w:tcW w:w="1943" w:type="dxa"/>
            <w:gridSpan w:val="2"/>
            <w:tcBorders>
              <w:bottom w:val="dashSmallGap" w:color="auto" w:sz="4" w:space="0"/>
              <w:right w:val="single" w:color="auto" w:sz="4" w:space="0"/>
            </w:tcBorders>
          </w:tcPr>
          <w:p>
            <w:pPr>
              <w:jc w:val="both"/>
              <w:rPr>
                <w:rFonts w:ascii="Arial" w:hAnsi="Arial" w:cs="Arial"/>
              </w:rPr>
            </w:pPr>
            <w:r>
              <w:rPr>
                <w:rFonts w:ascii="Arial" w:hAnsi="Arial" w:cs="Arial"/>
              </w:rPr>
              <w:t>Presentation material</w:t>
            </w:r>
          </w:p>
        </w:tc>
        <w:tc>
          <w:tcPr>
            <w:tcW w:w="2009" w:type="dxa"/>
            <w:gridSpan w:val="2"/>
            <w:tcBorders>
              <w:left w:val="single" w:color="auto" w:sz="4" w:space="0"/>
              <w:bottom w:val="dashSmallGap" w:color="auto" w:sz="4" w:space="0"/>
              <w:right w:val="single" w:color="auto" w:sz="18" w:space="0"/>
            </w:tcBorders>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8" w:hRule="atLeast"/>
          <w:jc w:val="center"/>
        </w:trPr>
        <w:tc>
          <w:tcPr>
            <w:tcW w:w="412" w:type="dxa"/>
            <w:vMerge w:val="continue"/>
            <w:tcBorders>
              <w:left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8</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sz w:val="21"/>
                <w:szCs w:val="21"/>
              </w:rPr>
              <w:t>Process, Legal and Ethical Issues, Prevention of Malpractices with examples.</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9</w:t>
            </w:r>
          </w:p>
        </w:tc>
        <w:tc>
          <w:tcPr>
            <w:tcW w:w="4075" w:type="dxa"/>
            <w:gridSpan w:val="2"/>
            <w:tcBorders>
              <w:top w:val="dashSmallGap" w:color="auto" w:sz="4" w:space="0"/>
              <w:bottom w:val="dashSmallGap" w:color="auto" w:sz="4" w:space="0"/>
              <w:right w:val="single" w:color="auto" w:sz="4" w:space="0"/>
            </w:tcBorders>
            <w:vAlign w:val="center"/>
          </w:tcPr>
          <w:p>
            <w:pPr>
              <w:spacing w:after="0"/>
              <w:jc w:val="both"/>
              <w:rPr>
                <w:rFonts w:ascii="Arial" w:hAnsi="Arial" w:cs="Arial"/>
                <w:i/>
              </w:rPr>
            </w:pPr>
            <w:r>
              <w:rPr>
                <w:rFonts w:ascii="Times New Roman" w:hAnsi="Times New Roman"/>
                <w:sz w:val="21"/>
                <w:szCs w:val="21"/>
              </w:rPr>
              <w:t>An Overview, Role of Services, Services and Products, Importance of Services, Nature of Services, Service characteristics &amp; Classifications, Service Process Matrix.</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i/>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i/>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restart"/>
            <w:tcBorders>
              <w:left w:val="single" w:color="auto" w:sz="18" w:space="0"/>
            </w:tcBorders>
            <w:shd w:val="clear" w:color="auto" w:fill="C6D9F0" w:themeFill="text2" w:themeFillTint="33"/>
            <w:textDirection w:val="btLr"/>
            <w:vAlign w:val="center"/>
          </w:tcPr>
          <w:p>
            <w:pPr>
              <w:ind w:left="113" w:right="113"/>
              <w:jc w:val="center"/>
              <w:rPr>
                <w:b/>
              </w:rPr>
            </w:pPr>
          </w:p>
        </w:tc>
        <w:tc>
          <w:tcPr>
            <w:tcW w:w="1409" w:type="dxa"/>
            <w:tcBorders>
              <w:top w:val="dashSmallGap" w:color="auto" w:sz="4" w:space="0"/>
              <w:bottom w:val="dashSmallGap" w:color="auto" w:sz="4" w:space="0"/>
            </w:tcBorders>
            <w:shd w:val="clear" w:color="auto" w:fill="C6D9F0" w:themeFill="text2" w:themeFillTint="33"/>
            <w:vAlign w:val="center"/>
          </w:tcPr>
          <w:p>
            <w:pPr>
              <w:rPr>
                <w:rFonts w:ascii="Arial" w:hAnsi="Arial" w:cs="Arial"/>
              </w:rPr>
            </w:pPr>
            <w:r>
              <w:rPr>
                <w:rFonts w:ascii="Arial" w:hAnsi="Arial" w:cs="Arial"/>
              </w:rPr>
              <w:t>Week 10</w:t>
            </w:r>
          </w:p>
        </w:tc>
        <w:tc>
          <w:tcPr>
            <w:tcW w:w="4075" w:type="dxa"/>
            <w:gridSpan w:val="2"/>
            <w:tcBorders>
              <w:top w:val="dashSmallGap" w:color="auto" w:sz="4" w:space="0"/>
              <w:bottom w:val="dashSmallGap" w:color="auto" w:sz="4" w:space="0"/>
              <w:right w:val="single" w:color="auto" w:sz="4" w:space="0"/>
            </w:tcBorders>
            <w:shd w:val="clear" w:color="auto" w:fill="C6D9F0" w:themeFill="text2" w:themeFillTint="33"/>
            <w:vAlign w:val="center"/>
          </w:tcPr>
          <w:p>
            <w:pPr>
              <w:jc w:val="both"/>
              <w:rPr>
                <w:rFonts w:ascii="Arial" w:hAnsi="Arial" w:cs="Arial"/>
              </w:rPr>
            </w:pPr>
            <w:r>
              <w:rPr>
                <w:rFonts w:ascii="Times New Roman" w:hAnsi="Times New Roman"/>
                <w:b w:val="0"/>
                <w:bCs/>
                <w:sz w:val="21"/>
                <w:szCs w:val="21"/>
                <w:lang w:eastAsia="en-US"/>
              </w:rPr>
              <w:t>Concepts of customer variability:</w:t>
            </w:r>
          </w:p>
        </w:tc>
        <w:tc>
          <w:tcPr>
            <w:tcW w:w="1943" w:type="dxa"/>
            <w:gridSpan w:val="2"/>
            <w:tcBorders>
              <w:top w:val="dashSmallGap" w:color="auto" w:sz="4" w:space="0"/>
              <w:bottom w:val="dashSmallGap" w:color="auto" w:sz="4" w:space="0"/>
              <w:right w:val="single" w:color="auto" w:sz="4" w:space="0"/>
            </w:tcBorders>
            <w:shd w:val="clear" w:color="auto" w:fill="C6D9F0" w:themeFill="text2" w:themeFillTint="33"/>
          </w:tcPr>
          <w:p>
            <w:pPr>
              <w:jc w:val="both"/>
              <w:rPr>
                <w:rFonts w:ascii="Arial" w:hAnsi="Arial" w:cs="Arial"/>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shd w:val="clear" w:color="auto" w:fill="C6D9F0" w:themeFill="text2" w:themeFillTint="33"/>
            <w:vAlign w:val="center"/>
          </w:tcPr>
          <w:p>
            <w:pPr>
              <w:jc w:val="both"/>
              <w:rPr>
                <w:rFonts w:ascii="Arial" w:hAnsi="Arial" w:cs="Arial"/>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vMerge w:val="continue"/>
            <w:tcBorders>
              <w:left w:val="single" w:color="auto" w:sz="18" w:space="0"/>
            </w:tcBorders>
            <w:vAlign w:val="center"/>
          </w:tcPr>
          <w:p>
            <w:pPr>
              <w:jc w:val="center"/>
              <w:rPr>
                <w:b/>
              </w:rPr>
            </w:pPr>
          </w:p>
        </w:tc>
        <w:tc>
          <w:tcPr>
            <w:tcW w:w="1409" w:type="dxa"/>
            <w:tcBorders>
              <w:top w:val="dashSmallGap" w:color="auto" w:sz="4" w:space="0"/>
              <w:bottom w:val="dashSmallGap" w:color="auto" w:sz="4" w:space="0"/>
            </w:tcBorders>
            <w:vAlign w:val="center"/>
          </w:tcPr>
          <w:p>
            <w:pPr>
              <w:rPr>
                <w:rFonts w:ascii="Arial" w:hAnsi="Arial" w:cs="Arial"/>
              </w:rPr>
            </w:pPr>
            <w:r>
              <w:rPr>
                <w:rFonts w:ascii="Arial" w:hAnsi="Arial" w:cs="Arial"/>
              </w:rPr>
              <w:t>Week 11</w:t>
            </w:r>
          </w:p>
        </w:tc>
        <w:tc>
          <w:tcPr>
            <w:tcW w:w="4075" w:type="dxa"/>
            <w:gridSpan w:val="2"/>
            <w:tcBorders>
              <w:top w:val="dashSmallGap" w:color="auto" w:sz="4" w:space="0"/>
              <w:bottom w:val="dashSmallGap" w:color="auto" w:sz="4" w:space="0"/>
              <w:right w:val="single" w:color="auto" w:sz="4" w:space="0"/>
            </w:tcBorders>
            <w:vAlign w:val="center"/>
          </w:tcPr>
          <w:p>
            <w:pPr>
              <w:pStyle w:val="8"/>
              <w:spacing w:after="0" w:line="240" w:lineRule="auto"/>
              <w:rPr>
                <w:rFonts w:ascii="Arial" w:hAnsi="Arial" w:cs="Arial"/>
                <w:color w:val="0000CC"/>
              </w:rPr>
            </w:pPr>
            <w:r>
              <w:rPr>
                <w:rFonts w:ascii="Times New Roman" w:hAnsi="Times New Roman"/>
                <w:sz w:val="21"/>
                <w:szCs w:val="21"/>
              </w:rPr>
              <w:t>Product &amp; Service Design, Service Design &amp; Management, Queuing theory, Capacity management, Scheduling, PERT &amp; CPM applications Framework for Analyzing Service operations.</w:t>
            </w:r>
          </w:p>
        </w:tc>
        <w:tc>
          <w:tcPr>
            <w:tcW w:w="1943" w:type="dxa"/>
            <w:gridSpan w:val="2"/>
            <w:tcBorders>
              <w:top w:val="dashSmallGap" w:color="auto" w:sz="4" w:space="0"/>
              <w:bottom w:val="dashSmallGap" w:color="auto" w:sz="4" w:space="0"/>
              <w:right w:val="single" w:color="auto" w:sz="4" w:space="0"/>
            </w:tcBorders>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dashSmallGap" w:color="auto" w:sz="4" w:space="0"/>
              <w:right w:val="single" w:color="auto" w:sz="18" w:space="0"/>
            </w:tcBorders>
            <w:vAlign w:val="center"/>
          </w:tcPr>
          <w:p>
            <w:pPr>
              <w:jc w:val="both"/>
              <w:rPr>
                <w:rFonts w:ascii="Arial" w:hAnsi="Arial" w:cs="Arial"/>
                <w:color w:val="0000CC"/>
              </w:rPr>
            </w:pPr>
            <w:r>
              <w:rPr>
                <w:rFonts w:ascii="Arial" w:hAnsi="Arial" w:cs="Arial"/>
              </w:rPr>
              <w:t>PPT/Notes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50" w:hRule="atLeast"/>
          <w:jc w:val="center"/>
        </w:trPr>
        <w:tc>
          <w:tcPr>
            <w:tcW w:w="412" w:type="dxa"/>
            <w:tcBorders>
              <w:left w:val="single" w:color="auto" w:sz="18" w:space="0"/>
              <w:bottom w:val="single" w:color="auto" w:sz="18" w:space="0"/>
            </w:tcBorders>
            <w:shd w:val="clear" w:color="auto" w:fill="C6D9F0" w:themeFill="text2" w:themeFillTint="33"/>
            <w:vAlign w:val="center"/>
          </w:tcPr>
          <w:p>
            <w:pPr>
              <w:jc w:val="center"/>
              <w:rPr>
                <w:b/>
              </w:rPr>
            </w:pPr>
          </w:p>
        </w:tc>
        <w:tc>
          <w:tcPr>
            <w:tcW w:w="1409" w:type="dxa"/>
            <w:tcBorders>
              <w:top w:val="dashSmallGap" w:color="auto" w:sz="4" w:space="0"/>
              <w:bottom w:val="single" w:color="auto" w:sz="18" w:space="0"/>
            </w:tcBorders>
            <w:shd w:val="clear" w:color="auto" w:fill="C6D9F0" w:themeFill="text2" w:themeFillTint="33"/>
            <w:vAlign w:val="center"/>
          </w:tcPr>
          <w:p>
            <w:pPr>
              <w:rPr>
                <w:rFonts w:hint="default" w:ascii="Arial" w:hAnsi="Arial" w:cs="Arial"/>
                <w:lang w:val="en"/>
              </w:rPr>
            </w:pPr>
            <w:r>
              <w:rPr>
                <w:rFonts w:ascii="Arial" w:hAnsi="Arial" w:cs="Arial"/>
              </w:rPr>
              <w:t>Week 1</w:t>
            </w:r>
            <w:r>
              <w:rPr>
                <w:rFonts w:hint="default" w:ascii="Arial" w:hAnsi="Arial" w:cs="Arial"/>
                <w:lang w:val="en"/>
              </w:rPr>
              <w:t>2</w:t>
            </w:r>
          </w:p>
        </w:tc>
        <w:tc>
          <w:tcPr>
            <w:tcW w:w="4075" w:type="dxa"/>
            <w:gridSpan w:val="2"/>
            <w:tcBorders>
              <w:top w:val="dashSmallGap" w:color="auto" w:sz="4" w:space="0"/>
              <w:bottom w:val="single" w:color="auto" w:sz="18" w:space="0"/>
              <w:right w:val="single" w:color="auto" w:sz="4" w:space="0"/>
            </w:tcBorders>
            <w:shd w:val="clear" w:color="auto" w:fill="C6D9F0" w:themeFill="text2" w:themeFillTint="33"/>
            <w:vAlign w:val="center"/>
          </w:tcPr>
          <w:p>
            <w:pPr>
              <w:suppressAutoHyphens w:val="0"/>
              <w:autoSpaceDE w:val="0"/>
              <w:autoSpaceDN w:val="0"/>
              <w:adjustRightInd w:val="0"/>
              <w:jc w:val="both"/>
              <w:rPr>
                <w:rFonts w:hint="default" w:ascii="Times New Roman" w:hAnsi="Times New Roman" w:eastAsia="Times New Roman"/>
                <w:color w:val="000000"/>
                <w:sz w:val="21"/>
                <w:szCs w:val="21"/>
                <w:lang w:val="en"/>
              </w:rPr>
            </w:pPr>
            <w:r>
              <w:rPr>
                <w:rFonts w:ascii="Times New Roman" w:hAnsi="Times New Roman"/>
                <w:sz w:val="21"/>
                <w:szCs w:val="21"/>
              </w:rPr>
              <w:t>Comparative analysis of different Healthcare system, Healthcare sectors and their functions, Community and population Health.</w:t>
            </w:r>
          </w:p>
        </w:tc>
        <w:tc>
          <w:tcPr>
            <w:tcW w:w="1943" w:type="dxa"/>
            <w:gridSpan w:val="2"/>
            <w:tcBorders>
              <w:top w:val="dashSmallGap" w:color="auto" w:sz="4" w:space="0"/>
              <w:bottom w:val="single" w:color="auto" w:sz="18" w:space="0"/>
              <w:right w:val="single" w:color="auto" w:sz="4" w:space="0"/>
            </w:tcBorders>
            <w:shd w:val="clear" w:color="auto" w:fill="C6D9F0" w:themeFill="text2" w:themeFillTint="33"/>
          </w:tcPr>
          <w:p>
            <w:pPr>
              <w:jc w:val="both"/>
              <w:rPr>
                <w:rFonts w:ascii="Arial" w:hAnsi="Arial" w:cs="Arial"/>
                <w:color w:val="0000CC"/>
              </w:rPr>
            </w:pPr>
            <w:r>
              <w:rPr>
                <w:rFonts w:ascii="Arial" w:hAnsi="Arial" w:cs="Arial"/>
              </w:rPr>
              <w:t>Presentation material</w:t>
            </w:r>
          </w:p>
        </w:tc>
        <w:tc>
          <w:tcPr>
            <w:tcW w:w="2009" w:type="dxa"/>
            <w:gridSpan w:val="2"/>
            <w:tcBorders>
              <w:top w:val="dashSmallGap" w:color="auto" w:sz="4" w:space="0"/>
              <w:left w:val="single" w:color="auto" w:sz="4" w:space="0"/>
              <w:bottom w:val="single" w:color="auto" w:sz="18" w:space="0"/>
              <w:right w:val="single" w:color="auto" w:sz="18" w:space="0"/>
            </w:tcBorders>
            <w:shd w:val="clear" w:color="auto" w:fill="C6D9F0" w:themeFill="text2" w:themeFillTint="33"/>
            <w:vAlign w:val="center"/>
          </w:tcPr>
          <w:p>
            <w:pPr>
              <w:jc w:val="both"/>
              <w:rPr>
                <w:rFonts w:ascii="Arial" w:hAnsi="Arial" w:cs="Arial"/>
                <w:color w:val="0000CC"/>
              </w:rPr>
            </w:pPr>
            <w:r>
              <w:rPr>
                <w:rFonts w:ascii="Arial" w:hAnsi="Arial" w:cs="Arial"/>
              </w:rPr>
              <w:t>PPT/Notes</w:t>
            </w:r>
          </w:p>
        </w:tc>
      </w:tr>
    </w:tbl>
    <w:p>
      <w:pPr>
        <w:jc w:val="both"/>
        <w:rPr>
          <w:lang w:val="en-AU"/>
        </w:rPr>
        <w:sectPr>
          <w:pgSz w:w="11900" w:h="16840"/>
          <w:pgMar w:top="680" w:right="1134" w:bottom="567" w:left="1134" w:header="284" w:footer="567" w:gutter="0"/>
          <w:cols w:space="720" w:num="1"/>
        </w:sectPr>
      </w:pPr>
    </w:p>
    <w:p>
      <w:pPr>
        <w:jc w:val="both"/>
        <w:rPr>
          <w:lang w:val="en-AU"/>
        </w:rPr>
      </w:pPr>
    </w:p>
    <w:sectPr>
      <w:pgSz w:w="11900" w:h="16840"/>
      <w:pgMar w:top="680" w:right="1134" w:bottom="567" w:left="1134" w:header="284" w:footer="567"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DejaVu Sans"/>
    <w:panose1 w:val="00000000000000000000"/>
    <w:charset w:val="86"/>
    <w:family w:val="auto"/>
    <w:pitch w:val="default"/>
    <w:sig w:usb0="00000000" w:usb1="00000000" w:usb2="00000000" w:usb3="00000000" w:csb0="00000000" w:csb1="00000000"/>
  </w:font>
  <w:font w:name="宋体">
    <w:altName w:val="SimSun"/>
    <w:panose1 w:val="02010600030101010101"/>
    <w:charset w:val="86"/>
    <w:family w:val="auto"/>
    <w:pitch w:val="variable"/>
    <w:sig w:usb0="00000003" w:usb1="080E0000" w:usb2="00000010" w:usb3="00000000" w:csb0="00040001" w:csb1="00000000"/>
  </w:font>
  <w:font w:name="SimSun">
    <w:altName w:val="Droid Sans Fallback"/>
    <w:panose1 w:val="00000000000000000000"/>
    <w:charset w:val="86"/>
    <w:family w:val="auto"/>
    <w:pitch w:val="default"/>
    <w:sig w:usb0="00000000" w:usb1="00000000" w:usb2="00000000" w:usb3="00000000" w:csb0="00000000" w:csb1="00000000"/>
  </w:font>
  <w:font w:name="Arial">
    <w:altName w:val="DejaVu Sans"/>
    <w:panose1 w:val="020B0604020202020204"/>
    <w:charset w:val="00"/>
    <w:family w:val="swiss"/>
    <w:pitch w:val="default"/>
    <w:sig w:usb0="20007A87" w:usb1="80000000" w:usb2="00000008" w:usb3="00000000" w:csb0="000001FF" w:csb1="00000000"/>
  </w:font>
  <w:font w:name="黑体">
    <w:altName w:val="Droid Sans Fallback"/>
    <w:panose1 w:val="02010600030101010101"/>
    <w:charset w:val="00"/>
    <w:family w:val="auto"/>
    <w:pitch w:val="default"/>
    <w:sig w:usb0="00000001" w:usb1="080E0000" w:usb2="00000010" w:usb3="00000000" w:csb0="00040000" w:csb1="00000000"/>
  </w:font>
  <w:font w:name="Courier New">
    <w:altName w:val="DejaVu Sans"/>
    <w:panose1 w:val="02070309020205020404"/>
    <w:charset w:val="00"/>
    <w:family w:val="modern"/>
    <w:pitch w:val="default"/>
    <w:sig w:usb0="20007A87" w:usb1="80000000" w:usb2="00000008" w:usb3="00000000" w:csb0="000001FF" w:csb1="00000000"/>
  </w:font>
  <w:font w:name="Wingdings">
    <w:altName w:val="MT Extra"/>
    <w:panose1 w:val="05000000000000000000"/>
    <w:charset w:val="00"/>
    <w:family w:val="auto"/>
    <w:pitch w:val="default"/>
    <w:sig w:usb0="00000000" w:usb1="10000000" w:usb2="00000000" w:usb3="00000000" w:csb0="80000000" w:csb1="00000000"/>
  </w:font>
  <w:font w:name="Calibri">
    <w:altName w:val="DejaVu Sans"/>
    <w:panose1 w:val="020F0502020204030204"/>
    <w:charset w:val="86"/>
    <w:family w:val="swiss"/>
    <w:pitch w:val="default"/>
    <w:sig w:usb0="00000000" w:usb1="00000000" w:usb2="00000001" w:usb3="00000000" w:csb0="0000019F" w:csb1="00000000"/>
  </w:font>
  <w:font w:name="SimSun">
    <w:altName w:val="Droid Sans Fallback"/>
    <w:panose1 w:val="02010600030101010101"/>
    <w:charset w:val="86"/>
    <w:family w:val="auto"/>
    <w:pitch w:val="default"/>
    <w:sig w:usb0="00000000" w:usb1="00000000" w:usb2="00000016" w:usb3="00000000" w:csb0="00040001" w:csb1="00000000"/>
  </w:font>
  <w:font w:name="Calibri">
    <w:altName w:val="DejaVu Sans"/>
    <w:panose1 w:val="020F0502020204030204"/>
    <w:charset w:val="86"/>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0000019F" w:csb1="00000000"/>
  </w:font>
  <w:font w:name="Shruti">
    <w:altName w:val="FreeSans"/>
    <w:panose1 w:val="020B0502040204020203"/>
    <w:charset w:val="00"/>
    <w:family w:val="swiss"/>
    <w:pitch w:val="default"/>
    <w:sig w:usb0="00000000" w:usb1="00000000" w:usb2="00000000" w:usb3="00000000" w:csb0="00000001" w:csb1="00000000"/>
  </w:font>
  <w:font w:name="Tahoma">
    <w:altName w:val="Ubuntu"/>
    <w:panose1 w:val="020B0604030504040204"/>
    <w:charset w:val="00"/>
    <w:family w:val="swiss"/>
    <w:pitch w:val="default"/>
    <w:sig w:usb0="00000000" w:usb1="00000000" w:usb2="00000029" w:usb3="00000000" w:csb0="000101FF" w:csb1="00000000"/>
  </w:font>
  <w:font w:name="Arial Unicode MS">
    <w:altName w:val="DejaVu Sans"/>
    <w:panose1 w:val="020B0604020202020204"/>
    <w:charset w:val="00"/>
    <w:family w:val="roman"/>
    <w:pitch w:val="default"/>
    <w:sig w:usb0="00000000" w:usb1="00000000" w:usb2="00000000" w:usb3="00000000" w:csb0="00000001" w:csb1="00000000"/>
  </w:font>
  <w:font w:name="Times">
    <w:altName w:val="DejaVu Sans"/>
    <w:panose1 w:val="02020603050405020304"/>
    <w:charset w:val="00"/>
    <w:family w:val="roman"/>
    <w:pitch w:val="default"/>
    <w:sig w:usb0="00000000" w:usb1="00000000" w:usb2="00000009" w:usb3="00000000" w:csb0="000001FF" w:csb1="00000000"/>
  </w:font>
  <w:font w:name="MS Mincho">
    <w:altName w:val="FreeSerif"/>
    <w:panose1 w:val="02020609040205080304"/>
    <w:charset w:val="00"/>
    <w:family w:val="modern"/>
    <w:pitch w:val="default"/>
    <w:sig w:usb0="00000000" w:usb1="00000000" w:usb2="00000012" w:usb3="00000000" w:csb0="0002009F" w:csb1="00000000"/>
  </w:font>
  <w:font w:name="Ani">
    <w:panose1 w:val="00000000000000000000"/>
    <w:charset w:val="00"/>
    <w:family w:val="auto"/>
    <w:pitch w:val="default"/>
    <w:sig w:usb0="00010001" w:usb1="00000000" w:usb2="00000000" w:usb3="00000000" w:csb0="00000000" w:csb1="00000000"/>
  </w:font>
  <w:font w:name="Symbol">
    <w:altName w:val="MT Extra"/>
    <w:panose1 w:val="05050102010706020507"/>
    <w:charset w:val="02"/>
    <w:family w:val="roman"/>
    <w:pitch w:val="default"/>
    <w:sig w:usb0="00000000" w:usb1="00000000" w:usb2="00000000" w:usb3="00000000" w:csb0="80000000" w:csb1="00000000"/>
  </w:font>
  <w:font w:name="DejaVu Sans">
    <w:panose1 w:val="020B0603030804020204"/>
    <w:charset w:val="00"/>
    <w:family w:val="auto"/>
    <w:pitch w:val="default"/>
    <w:sig w:usb0="E7006EFF" w:usb1="D200FDFF" w:usb2="0A246029" w:usb3="0400200C" w:csb0="600001FF" w:csb1="DFFF0000"/>
  </w:font>
  <w:font w:name="esint10">
    <w:panose1 w:val="02000503000000000000"/>
    <w:charset w:val="00"/>
    <w:family w:val="auto"/>
    <w:pitch w:val="default"/>
    <w:sig w:usb0="00000003" w:usb1="00000000" w:usb2="00000000" w:usb3="00000000" w:csb0="40000001" w:csb1="80D40000"/>
  </w:font>
  <w:font w:name="DejaVa Sans">
    <w:altName w:val="Gubbi"/>
    <w:panose1 w:val="00000000000000000000"/>
    <w:charset w:val="00"/>
    <w:family w:val="auto"/>
    <w:pitch w:val="default"/>
    <w:sig w:usb0="00000000" w:usb1="00000000" w:usb2="00000000" w:usb3="00000000" w:csb0="00000000" w:csb1="00000000"/>
  </w:font>
  <w:font w:name="Gubbi">
    <w:panose1 w:val="00000400000000000000"/>
    <w:charset w:val="00"/>
    <w:family w:val="auto"/>
    <w:pitch w:val="default"/>
    <w:sig w:usb0="004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Ubuntu">
    <w:panose1 w:val="020B0604030602030204"/>
    <w:charset w:val="00"/>
    <w:family w:val="auto"/>
    <w:pitch w:val="default"/>
    <w:sig w:usb0="E00002FF" w:usb1="5000205B" w:usb2="00000000" w:usb3="00000000" w:csb0="2000009F" w:csb1="56010000"/>
  </w:font>
  <w:font w:name="Symbol">
    <w:altName w:val="MT Extra"/>
    <w:panose1 w:val="05050102010706020507"/>
    <w:charset w:val="00"/>
    <w:family w:val="roman"/>
    <w:pitch w:val="default"/>
    <w:sig w:usb0="00000000" w:usb1="00000000" w:usb2="00000000" w:usb3="00000000" w:csb0="80000000" w:csb1="00000000"/>
  </w:font>
  <w:font w:name="MT Extra">
    <w:panose1 w:val="05050102010205020202"/>
    <w:charset w:val="00"/>
    <w:family w:val="auto"/>
    <w:pitch w:val="default"/>
    <w:sig w:usb0="8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FreeSans">
    <w:panose1 w:val="020B0504020202020204"/>
    <w:charset w:val="00"/>
    <w:family w:val="auto"/>
    <w:pitch w:val="default"/>
    <w:sig w:usb0="E4839EFF" w:usb1="4600FDFF" w:usb2="000030A0" w:usb3="00000584" w:csb0="600001BF" w:csb1="DFF70000"/>
  </w:font>
  <w:font w:name="Droid Sans Fallback">
    <w:panose1 w:val="020B0502000000000001"/>
    <w:charset w:val="86"/>
    <w:family w:val="auto"/>
    <w:pitch w:val="default"/>
    <w:sig w:usb0="910002FF" w:usb1="2BDFFCFB" w:usb2="00000036" w:usb3="00000000" w:csb0="203F01FF" w:csb1="D7FF0000"/>
  </w:font>
  <w:font w:name="Calibri">
    <w:altName w:val="DejaVu Sans"/>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88535580"/>
      <w:docPartObj>
        <w:docPartGallery w:val="autotext"/>
      </w:docPartObj>
    </w:sdtPr>
    <w:sdtContent>
      <w:p>
        <w:pPr>
          <w:pStyle w:val="13"/>
        </w:pPr>
        <w:r>
          <w:rPr>
            <w:sz w:val="22"/>
            <w:szCs w:val="24"/>
          </w:rPr>
          <w:tab/>
        </w:r>
        <w:sdt>
          <w:sdtPr>
            <w:rPr>
              <w:b/>
              <w:sz w:val="22"/>
              <w:szCs w:val="24"/>
            </w:rPr>
            <w:id w:val="88535549"/>
            <w:docPartObj>
              <w:docPartGallery w:val="autotext"/>
            </w:docPartObj>
          </w:sdtPr>
          <w:sdtEndPr>
            <w:rPr>
              <w:b/>
              <w:sz w:val="22"/>
              <w:szCs w:val="24"/>
            </w:rPr>
          </w:sdtEndPr>
          <w:sdtContent>
            <w:sdt>
              <w:sdtPr>
                <w:rPr>
                  <w:b/>
                  <w:sz w:val="22"/>
                  <w:szCs w:val="24"/>
                </w:rPr>
                <w:id w:val="565050523"/>
                <w:docPartObj>
                  <w:docPartGallery w:val="autotext"/>
                </w:docPartObj>
              </w:sdtPr>
              <w:sdtEndPr>
                <w:rPr>
                  <w:b/>
                  <w:sz w:val="22"/>
                  <w:szCs w:val="24"/>
                </w:rPr>
              </w:sdtEndPr>
              <w:sdtContent>
                <w:r>
                  <w:rPr>
                    <w:b/>
                    <w:sz w:val="22"/>
                    <w:szCs w:val="24"/>
                  </w:rPr>
                  <w:t xml:space="preserve">Page </w:t>
                </w:r>
                <w:r>
                  <w:rPr>
                    <w:b/>
                    <w:sz w:val="22"/>
                    <w:szCs w:val="24"/>
                  </w:rPr>
                  <w:fldChar w:fldCharType="begin"/>
                </w:r>
                <w:r>
                  <w:rPr>
                    <w:b/>
                    <w:sz w:val="22"/>
                    <w:szCs w:val="24"/>
                  </w:rPr>
                  <w:instrText xml:space="preserve"> PAGE </w:instrText>
                </w:r>
                <w:r>
                  <w:rPr>
                    <w:b/>
                    <w:sz w:val="22"/>
                    <w:szCs w:val="24"/>
                  </w:rPr>
                  <w:fldChar w:fldCharType="separate"/>
                </w:r>
                <w:r>
                  <w:rPr>
                    <w:b/>
                    <w:sz w:val="22"/>
                    <w:szCs w:val="24"/>
                  </w:rPr>
                  <w:t>8</w:t>
                </w:r>
                <w:r>
                  <w:rPr>
                    <w:b/>
                    <w:sz w:val="22"/>
                    <w:szCs w:val="24"/>
                  </w:rPr>
                  <w:fldChar w:fldCharType="end"/>
                </w:r>
                <w:r>
                  <w:rPr>
                    <w:b/>
                    <w:sz w:val="22"/>
                    <w:szCs w:val="24"/>
                  </w:rPr>
                  <w:t xml:space="preserve"> of </w:t>
                </w:r>
                <w:r>
                  <w:rPr>
                    <w:b/>
                    <w:sz w:val="22"/>
                    <w:szCs w:val="24"/>
                  </w:rPr>
                  <w:fldChar w:fldCharType="begin"/>
                </w:r>
                <w:r>
                  <w:rPr>
                    <w:b/>
                    <w:sz w:val="22"/>
                    <w:szCs w:val="24"/>
                  </w:rPr>
                  <w:instrText xml:space="preserve"> NUMPAGES  </w:instrText>
                </w:r>
                <w:r>
                  <w:rPr>
                    <w:b/>
                    <w:sz w:val="22"/>
                    <w:szCs w:val="24"/>
                  </w:rPr>
                  <w:fldChar w:fldCharType="separate"/>
                </w:r>
                <w:r>
                  <w:rPr>
                    <w:b/>
                    <w:sz w:val="22"/>
                    <w:szCs w:val="24"/>
                  </w:rPr>
                  <w:t>8</w:t>
                </w:r>
                <w:r>
                  <w:rPr>
                    <w:b/>
                    <w:sz w:val="22"/>
                    <w:szCs w:val="24"/>
                  </w:rPr>
                  <w:fldChar w:fldCharType="end"/>
                </w:r>
              </w:sdtContent>
            </w:sdt>
          </w:sdtContent>
        </w:sdt>
      </w:p>
    </w:sdtContent>
  </w:sdt>
  <w:p>
    <w:pPr>
      <w:pStyle w:val="13"/>
      <w:rPr>
        <w:sz w:val="22"/>
        <w:szCs w:val="2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jc w:val="right"/>
    </w:pPr>
    <w:r>
      <w:rPr>
        <w:lang w:bidi="gu-IN"/>
      </w:rPr>
      <w:drawing>
        <wp:inline distT="0" distB="0" distL="0" distR="0">
          <wp:extent cx="1457325" cy="430530"/>
          <wp:effectExtent l="0" t="0" r="0" b="7620"/>
          <wp:docPr id="6" name="Picture 6" descr="Image result for indus univers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Image result for indus university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457325" cy="430782"/>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3F5691"/>
    <w:multiLevelType w:val="multilevel"/>
    <w:tmpl w:val="113F56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74B76D85"/>
    <w:multiLevelType w:val="multilevel"/>
    <w:tmpl w:val="74B76D85"/>
    <w:lvl w:ilvl="0" w:tentative="0">
      <w:start w:val="1"/>
      <w:numFmt w:val="bullet"/>
      <w:lvlText w:val=""/>
      <w:lvlJc w:val="left"/>
      <w:pPr>
        <w:ind w:left="720" w:hanging="360"/>
      </w:pPr>
      <w:rPr>
        <w:rFonts w:hint="default" w:ascii="Wingdings" w:hAnsi="Wingdings"/>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attachedTemplate r:id="rId1"/>
  <w:documentProtection w:enforcement="0"/>
  <w:defaultTabStop w:val="720"/>
  <w:noPunctuationKerning w:val="1"/>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C58"/>
    <w:rsid w:val="0000522B"/>
    <w:rsid w:val="000064F5"/>
    <w:rsid w:val="000073D7"/>
    <w:rsid w:val="000140C4"/>
    <w:rsid w:val="00020BC0"/>
    <w:rsid w:val="00022168"/>
    <w:rsid w:val="0002327B"/>
    <w:rsid w:val="0002644F"/>
    <w:rsid w:val="00026A1B"/>
    <w:rsid w:val="00034011"/>
    <w:rsid w:val="00035805"/>
    <w:rsid w:val="00046AFF"/>
    <w:rsid w:val="00047C06"/>
    <w:rsid w:val="000560F2"/>
    <w:rsid w:val="000567C9"/>
    <w:rsid w:val="00060A06"/>
    <w:rsid w:val="000711F4"/>
    <w:rsid w:val="000717F4"/>
    <w:rsid w:val="00072CBB"/>
    <w:rsid w:val="00093EBD"/>
    <w:rsid w:val="000A215A"/>
    <w:rsid w:val="000A21EE"/>
    <w:rsid w:val="000A4FC7"/>
    <w:rsid w:val="000B73BC"/>
    <w:rsid w:val="000C1C70"/>
    <w:rsid w:val="000C2456"/>
    <w:rsid w:val="000D3145"/>
    <w:rsid w:val="000E2A07"/>
    <w:rsid w:val="000E5383"/>
    <w:rsid w:val="000E61B5"/>
    <w:rsid w:val="000F07E9"/>
    <w:rsid w:val="000F0B18"/>
    <w:rsid w:val="000F0B40"/>
    <w:rsid w:val="00101CD9"/>
    <w:rsid w:val="001027D6"/>
    <w:rsid w:val="0010384E"/>
    <w:rsid w:val="00107DB3"/>
    <w:rsid w:val="001113E5"/>
    <w:rsid w:val="001162A0"/>
    <w:rsid w:val="00116B70"/>
    <w:rsid w:val="001200C6"/>
    <w:rsid w:val="0012243A"/>
    <w:rsid w:val="001259FB"/>
    <w:rsid w:val="00127643"/>
    <w:rsid w:val="00130EEC"/>
    <w:rsid w:val="001334BA"/>
    <w:rsid w:val="00134B5D"/>
    <w:rsid w:val="001427D9"/>
    <w:rsid w:val="00144ABD"/>
    <w:rsid w:val="00145370"/>
    <w:rsid w:val="00145CCC"/>
    <w:rsid w:val="00146923"/>
    <w:rsid w:val="00151B30"/>
    <w:rsid w:val="00151CAE"/>
    <w:rsid w:val="001536E7"/>
    <w:rsid w:val="00167C25"/>
    <w:rsid w:val="00171767"/>
    <w:rsid w:val="00171B82"/>
    <w:rsid w:val="00174A05"/>
    <w:rsid w:val="00176C06"/>
    <w:rsid w:val="0018266C"/>
    <w:rsid w:val="00182BB8"/>
    <w:rsid w:val="001909AC"/>
    <w:rsid w:val="00193A69"/>
    <w:rsid w:val="001A10A4"/>
    <w:rsid w:val="001A191B"/>
    <w:rsid w:val="001A488D"/>
    <w:rsid w:val="001A55A8"/>
    <w:rsid w:val="001A6D36"/>
    <w:rsid w:val="001B2BA1"/>
    <w:rsid w:val="001B479B"/>
    <w:rsid w:val="001B7483"/>
    <w:rsid w:val="001C0B9D"/>
    <w:rsid w:val="001C2652"/>
    <w:rsid w:val="001C3973"/>
    <w:rsid w:val="001C3F6F"/>
    <w:rsid w:val="001C7033"/>
    <w:rsid w:val="001C7810"/>
    <w:rsid w:val="001D2E98"/>
    <w:rsid w:val="001D36B2"/>
    <w:rsid w:val="001D3B58"/>
    <w:rsid w:val="001D5C1F"/>
    <w:rsid w:val="001E2330"/>
    <w:rsid w:val="001E2ADB"/>
    <w:rsid w:val="001E7B13"/>
    <w:rsid w:val="001F7A52"/>
    <w:rsid w:val="001F7B6B"/>
    <w:rsid w:val="00205DEF"/>
    <w:rsid w:val="002112C8"/>
    <w:rsid w:val="00216DD3"/>
    <w:rsid w:val="002226A2"/>
    <w:rsid w:val="00223292"/>
    <w:rsid w:val="002278F2"/>
    <w:rsid w:val="00232EC6"/>
    <w:rsid w:val="002349F9"/>
    <w:rsid w:val="00250D52"/>
    <w:rsid w:val="002520FE"/>
    <w:rsid w:val="002526A3"/>
    <w:rsid w:val="0026079E"/>
    <w:rsid w:val="002656CF"/>
    <w:rsid w:val="00272DC0"/>
    <w:rsid w:val="002746DE"/>
    <w:rsid w:val="002759E8"/>
    <w:rsid w:val="00285B01"/>
    <w:rsid w:val="00292EE9"/>
    <w:rsid w:val="00296918"/>
    <w:rsid w:val="002A2F31"/>
    <w:rsid w:val="002A4BED"/>
    <w:rsid w:val="002B0D77"/>
    <w:rsid w:val="002B42B7"/>
    <w:rsid w:val="002C5374"/>
    <w:rsid w:val="002D125B"/>
    <w:rsid w:val="002D4291"/>
    <w:rsid w:val="002D7BA4"/>
    <w:rsid w:val="002E154D"/>
    <w:rsid w:val="002E199D"/>
    <w:rsid w:val="002E19E3"/>
    <w:rsid w:val="002E71CE"/>
    <w:rsid w:val="002F000F"/>
    <w:rsid w:val="002F329D"/>
    <w:rsid w:val="002F4B82"/>
    <w:rsid w:val="002F5E5D"/>
    <w:rsid w:val="00300689"/>
    <w:rsid w:val="00302374"/>
    <w:rsid w:val="003029BD"/>
    <w:rsid w:val="003052DF"/>
    <w:rsid w:val="00311F67"/>
    <w:rsid w:val="00320D82"/>
    <w:rsid w:val="00321DCD"/>
    <w:rsid w:val="003338EC"/>
    <w:rsid w:val="00337886"/>
    <w:rsid w:val="0034329A"/>
    <w:rsid w:val="0035382F"/>
    <w:rsid w:val="00355654"/>
    <w:rsid w:val="00357563"/>
    <w:rsid w:val="003576E5"/>
    <w:rsid w:val="00366765"/>
    <w:rsid w:val="00366DB9"/>
    <w:rsid w:val="00370AE6"/>
    <w:rsid w:val="003718D3"/>
    <w:rsid w:val="00373E7E"/>
    <w:rsid w:val="003755FB"/>
    <w:rsid w:val="00382478"/>
    <w:rsid w:val="00391FA8"/>
    <w:rsid w:val="003A465E"/>
    <w:rsid w:val="003A68F3"/>
    <w:rsid w:val="003A69D1"/>
    <w:rsid w:val="003A7B0E"/>
    <w:rsid w:val="003A7D93"/>
    <w:rsid w:val="003B1B9C"/>
    <w:rsid w:val="003B1F2D"/>
    <w:rsid w:val="003B4C20"/>
    <w:rsid w:val="003C13C9"/>
    <w:rsid w:val="003D5317"/>
    <w:rsid w:val="003D5832"/>
    <w:rsid w:val="003D6CBF"/>
    <w:rsid w:val="003E2E3E"/>
    <w:rsid w:val="003E32DB"/>
    <w:rsid w:val="003E4553"/>
    <w:rsid w:val="003E4627"/>
    <w:rsid w:val="003E73A4"/>
    <w:rsid w:val="003F49AA"/>
    <w:rsid w:val="003F59D9"/>
    <w:rsid w:val="003F61D3"/>
    <w:rsid w:val="00402BCA"/>
    <w:rsid w:val="00402C5C"/>
    <w:rsid w:val="00425B81"/>
    <w:rsid w:val="004328C3"/>
    <w:rsid w:val="00432A37"/>
    <w:rsid w:val="00435A76"/>
    <w:rsid w:val="00437629"/>
    <w:rsid w:val="00443AD2"/>
    <w:rsid w:val="00446341"/>
    <w:rsid w:val="00460B3F"/>
    <w:rsid w:val="004653F9"/>
    <w:rsid w:val="004661BF"/>
    <w:rsid w:val="0046779B"/>
    <w:rsid w:val="00467C3F"/>
    <w:rsid w:val="0047125B"/>
    <w:rsid w:val="004722B6"/>
    <w:rsid w:val="004729CF"/>
    <w:rsid w:val="004828B3"/>
    <w:rsid w:val="0048295C"/>
    <w:rsid w:val="00486432"/>
    <w:rsid w:val="00496745"/>
    <w:rsid w:val="004A1137"/>
    <w:rsid w:val="004A4183"/>
    <w:rsid w:val="004B1B34"/>
    <w:rsid w:val="004C1524"/>
    <w:rsid w:val="004C40AF"/>
    <w:rsid w:val="004C42FE"/>
    <w:rsid w:val="004C4B79"/>
    <w:rsid w:val="004D6431"/>
    <w:rsid w:val="004D77B1"/>
    <w:rsid w:val="004F0AE4"/>
    <w:rsid w:val="004F3A5C"/>
    <w:rsid w:val="005078A1"/>
    <w:rsid w:val="00510FE1"/>
    <w:rsid w:val="00516D91"/>
    <w:rsid w:val="0052526E"/>
    <w:rsid w:val="00530A77"/>
    <w:rsid w:val="00531175"/>
    <w:rsid w:val="00532D2F"/>
    <w:rsid w:val="00533F6B"/>
    <w:rsid w:val="00535FBE"/>
    <w:rsid w:val="00536974"/>
    <w:rsid w:val="00536ECF"/>
    <w:rsid w:val="00544B5B"/>
    <w:rsid w:val="005523F6"/>
    <w:rsid w:val="00552E1B"/>
    <w:rsid w:val="00552F5A"/>
    <w:rsid w:val="005534C0"/>
    <w:rsid w:val="00554376"/>
    <w:rsid w:val="00566137"/>
    <w:rsid w:val="00566C8C"/>
    <w:rsid w:val="00575B3B"/>
    <w:rsid w:val="0058143C"/>
    <w:rsid w:val="00582008"/>
    <w:rsid w:val="00593D3D"/>
    <w:rsid w:val="005956B5"/>
    <w:rsid w:val="00596400"/>
    <w:rsid w:val="00596E24"/>
    <w:rsid w:val="005A331F"/>
    <w:rsid w:val="005A33B5"/>
    <w:rsid w:val="005A3F14"/>
    <w:rsid w:val="005A6588"/>
    <w:rsid w:val="005B16D3"/>
    <w:rsid w:val="005B5727"/>
    <w:rsid w:val="005C1785"/>
    <w:rsid w:val="005C191B"/>
    <w:rsid w:val="005C32FF"/>
    <w:rsid w:val="005C63E6"/>
    <w:rsid w:val="005D5CD6"/>
    <w:rsid w:val="005E4324"/>
    <w:rsid w:val="005E5169"/>
    <w:rsid w:val="005F1070"/>
    <w:rsid w:val="005F789E"/>
    <w:rsid w:val="005F7A5F"/>
    <w:rsid w:val="00600B70"/>
    <w:rsid w:val="006014F7"/>
    <w:rsid w:val="0060354C"/>
    <w:rsid w:val="006061EB"/>
    <w:rsid w:val="00607F37"/>
    <w:rsid w:val="00613BA8"/>
    <w:rsid w:val="00613D73"/>
    <w:rsid w:val="00614531"/>
    <w:rsid w:val="00621F8D"/>
    <w:rsid w:val="00632128"/>
    <w:rsid w:val="00633365"/>
    <w:rsid w:val="006353D0"/>
    <w:rsid w:val="00642655"/>
    <w:rsid w:val="0064358A"/>
    <w:rsid w:val="00643D17"/>
    <w:rsid w:val="006478FF"/>
    <w:rsid w:val="00652EAF"/>
    <w:rsid w:val="006540D4"/>
    <w:rsid w:val="00656635"/>
    <w:rsid w:val="00666518"/>
    <w:rsid w:val="00666D32"/>
    <w:rsid w:val="00667972"/>
    <w:rsid w:val="00670770"/>
    <w:rsid w:val="006752F0"/>
    <w:rsid w:val="00675812"/>
    <w:rsid w:val="00675CBF"/>
    <w:rsid w:val="00677959"/>
    <w:rsid w:val="00681534"/>
    <w:rsid w:val="006841DE"/>
    <w:rsid w:val="00686CDF"/>
    <w:rsid w:val="00692808"/>
    <w:rsid w:val="00694EB0"/>
    <w:rsid w:val="006953CB"/>
    <w:rsid w:val="00697B26"/>
    <w:rsid w:val="006A00C4"/>
    <w:rsid w:val="006A2043"/>
    <w:rsid w:val="006B4AC6"/>
    <w:rsid w:val="006B51A9"/>
    <w:rsid w:val="006B54AC"/>
    <w:rsid w:val="006C3624"/>
    <w:rsid w:val="006C5633"/>
    <w:rsid w:val="006C6097"/>
    <w:rsid w:val="006E107E"/>
    <w:rsid w:val="006E1D1F"/>
    <w:rsid w:val="006E4903"/>
    <w:rsid w:val="006E659A"/>
    <w:rsid w:val="00701ACC"/>
    <w:rsid w:val="00703C51"/>
    <w:rsid w:val="00706234"/>
    <w:rsid w:val="00707E2C"/>
    <w:rsid w:val="0071099B"/>
    <w:rsid w:val="00711163"/>
    <w:rsid w:val="007129E3"/>
    <w:rsid w:val="00714B98"/>
    <w:rsid w:val="007259BA"/>
    <w:rsid w:val="007327E8"/>
    <w:rsid w:val="00732FA8"/>
    <w:rsid w:val="007470A6"/>
    <w:rsid w:val="007475F6"/>
    <w:rsid w:val="00751DCF"/>
    <w:rsid w:val="007579C7"/>
    <w:rsid w:val="007579D3"/>
    <w:rsid w:val="0076050B"/>
    <w:rsid w:val="007619E9"/>
    <w:rsid w:val="00763418"/>
    <w:rsid w:val="00765FE3"/>
    <w:rsid w:val="007700B7"/>
    <w:rsid w:val="0077057F"/>
    <w:rsid w:val="00772281"/>
    <w:rsid w:val="00773B02"/>
    <w:rsid w:val="00775FFA"/>
    <w:rsid w:val="00776E48"/>
    <w:rsid w:val="007773D7"/>
    <w:rsid w:val="00780330"/>
    <w:rsid w:val="00781A6C"/>
    <w:rsid w:val="00791993"/>
    <w:rsid w:val="00791FA8"/>
    <w:rsid w:val="0079276C"/>
    <w:rsid w:val="007938EF"/>
    <w:rsid w:val="00796A9B"/>
    <w:rsid w:val="007A01B2"/>
    <w:rsid w:val="007A0642"/>
    <w:rsid w:val="007A186E"/>
    <w:rsid w:val="007A65F6"/>
    <w:rsid w:val="007B7BD5"/>
    <w:rsid w:val="007B7EF4"/>
    <w:rsid w:val="007C2843"/>
    <w:rsid w:val="007C506D"/>
    <w:rsid w:val="007C619B"/>
    <w:rsid w:val="007C6CA7"/>
    <w:rsid w:val="007C7A17"/>
    <w:rsid w:val="007D64B4"/>
    <w:rsid w:val="007D6DC5"/>
    <w:rsid w:val="007E12EC"/>
    <w:rsid w:val="007E255D"/>
    <w:rsid w:val="007E3A8D"/>
    <w:rsid w:val="007E68BD"/>
    <w:rsid w:val="007F4F16"/>
    <w:rsid w:val="007F5189"/>
    <w:rsid w:val="007F7548"/>
    <w:rsid w:val="00805353"/>
    <w:rsid w:val="008057BD"/>
    <w:rsid w:val="008128BD"/>
    <w:rsid w:val="00813F88"/>
    <w:rsid w:val="00824171"/>
    <w:rsid w:val="00825113"/>
    <w:rsid w:val="00826359"/>
    <w:rsid w:val="00826776"/>
    <w:rsid w:val="00833EC8"/>
    <w:rsid w:val="00844384"/>
    <w:rsid w:val="008500D7"/>
    <w:rsid w:val="008508B9"/>
    <w:rsid w:val="00851201"/>
    <w:rsid w:val="00857001"/>
    <w:rsid w:val="00857581"/>
    <w:rsid w:val="00860CD0"/>
    <w:rsid w:val="0086255B"/>
    <w:rsid w:val="00865FB4"/>
    <w:rsid w:val="008669A5"/>
    <w:rsid w:val="00867F6F"/>
    <w:rsid w:val="00870687"/>
    <w:rsid w:val="00871E40"/>
    <w:rsid w:val="00886BF5"/>
    <w:rsid w:val="00894ABB"/>
    <w:rsid w:val="00897C06"/>
    <w:rsid w:val="008A0546"/>
    <w:rsid w:val="008A2FD2"/>
    <w:rsid w:val="008A3DC1"/>
    <w:rsid w:val="008B5760"/>
    <w:rsid w:val="008B5A64"/>
    <w:rsid w:val="008B7DD7"/>
    <w:rsid w:val="008C1299"/>
    <w:rsid w:val="008C12AB"/>
    <w:rsid w:val="008C2115"/>
    <w:rsid w:val="008C4FD3"/>
    <w:rsid w:val="008C5FC1"/>
    <w:rsid w:val="008C63AF"/>
    <w:rsid w:val="008C64D4"/>
    <w:rsid w:val="008D52FF"/>
    <w:rsid w:val="008E4F92"/>
    <w:rsid w:val="008E6300"/>
    <w:rsid w:val="008F0229"/>
    <w:rsid w:val="008F381F"/>
    <w:rsid w:val="008F592F"/>
    <w:rsid w:val="00900BEE"/>
    <w:rsid w:val="0090454F"/>
    <w:rsid w:val="009057D7"/>
    <w:rsid w:val="00907509"/>
    <w:rsid w:val="00911629"/>
    <w:rsid w:val="009168B3"/>
    <w:rsid w:val="00920BF9"/>
    <w:rsid w:val="0092732E"/>
    <w:rsid w:val="00930AD5"/>
    <w:rsid w:val="0093235C"/>
    <w:rsid w:val="00934A2F"/>
    <w:rsid w:val="009418A1"/>
    <w:rsid w:val="00950576"/>
    <w:rsid w:val="0095374B"/>
    <w:rsid w:val="00954C2A"/>
    <w:rsid w:val="00961C64"/>
    <w:rsid w:val="00967FF3"/>
    <w:rsid w:val="0097104A"/>
    <w:rsid w:val="009733BD"/>
    <w:rsid w:val="00977184"/>
    <w:rsid w:val="00982D20"/>
    <w:rsid w:val="00983DDD"/>
    <w:rsid w:val="009858B7"/>
    <w:rsid w:val="00986382"/>
    <w:rsid w:val="00987A4A"/>
    <w:rsid w:val="009906B2"/>
    <w:rsid w:val="00991B60"/>
    <w:rsid w:val="00995974"/>
    <w:rsid w:val="009979A8"/>
    <w:rsid w:val="009A0048"/>
    <w:rsid w:val="009A20F7"/>
    <w:rsid w:val="009A34E3"/>
    <w:rsid w:val="009B1F48"/>
    <w:rsid w:val="009B2A34"/>
    <w:rsid w:val="009B3BB8"/>
    <w:rsid w:val="009B3EB4"/>
    <w:rsid w:val="009C0916"/>
    <w:rsid w:val="009C2777"/>
    <w:rsid w:val="009C2B83"/>
    <w:rsid w:val="009C61F7"/>
    <w:rsid w:val="009C785D"/>
    <w:rsid w:val="009D0012"/>
    <w:rsid w:val="009D3E7E"/>
    <w:rsid w:val="009D52CA"/>
    <w:rsid w:val="009D5319"/>
    <w:rsid w:val="009E2B0F"/>
    <w:rsid w:val="009F0E62"/>
    <w:rsid w:val="009F4EA3"/>
    <w:rsid w:val="00A015AD"/>
    <w:rsid w:val="00A01C6B"/>
    <w:rsid w:val="00A037F7"/>
    <w:rsid w:val="00A11684"/>
    <w:rsid w:val="00A121DD"/>
    <w:rsid w:val="00A12595"/>
    <w:rsid w:val="00A13087"/>
    <w:rsid w:val="00A2629F"/>
    <w:rsid w:val="00A31F70"/>
    <w:rsid w:val="00A42B12"/>
    <w:rsid w:val="00A461B5"/>
    <w:rsid w:val="00A46FB8"/>
    <w:rsid w:val="00A61B45"/>
    <w:rsid w:val="00A67078"/>
    <w:rsid w:val="00A7033C"/>
    <w:rsid w:val="00A803E1"/>
    <w:rsid w:val="00A84F0E"/>
    <w:rsid w:val="00A86FC7"/>
    <w:rsid w:val="00A96027"/>
    <w:rsid w:val="00AA0F9E"/>
    <w:rsid w:val="00AB34D9"/>
    <w:rsid w:val="00AB62B3"/>
    <w:rsid w:val="00AC31A2"/>
    <w:rsid w:val="00AC351B"/>
    <w:rsid w:val="00AC3C57"/>
    <w:rsid w:val="00AD280C"/>
    <w:rsid w:val="00AD493D"/>
    <w:rsid w:val="00AD4F79"/>
    <w:rsid w:val="00AE1519"/>
    <w:rsid w:val="00AE2BF7"/>
    <w:rsid w:val="00AE2FEA"/>
    <w:rsid w:val="00AE492B"/>
    <w:rsid w:val="00AF0A7C"/>
    <w:rsid w:val="00AF0FF6"/>
    <w:rsid w:val="00B02682"/>
    <w:rsid w:val="00B21EE1"/>
    <w:rsid w:val="00B2526E"/>
    <w:rsid w:val="00B31B37"/>
    <w:rsid w:val="00B3484B"/>
    <w:rsid w:val="00B35FE0"/>
    <w:rsid w:val="00B36045"/>
    <w:rsid w:val="00B428EE"/>
    <w:rsid w:val="00B45612"/>
    <w:rsid w:val="00B50040"/>
    <w:rsid w:val="00B516E6"/>
    <w:rsid w:val="00B60B81"/>
    <w:rsid w:val="00B64280"/>
    <w:rsid w:val="00B715DF"/>
    <w:rsid w:val="00B72357"/>
    <w:rsid w:val="00B73C58"/>
    <w:rsid w:val="00B777EF"/>
    <w:rsid w:val="00B82C90"/>
    <w:rsid w:val="00B83DBA"/>
    <w:rsid w:val="00B86928"/>
    <w:rsid w:val="00B900D2"/>
    <w:rsid w:val="00B92171"/>
    <w:rsid w:val="00B951FE"/>
    <w:rsid w:val="00B96451"/>
    <w:rsid w:val="00B97A61"/>
    <w:rsid w:val="00BB244E"/>
    <w:rsid w:val="00BB4920"/>
    <w:rsid w:val="00BB4F65"/>
    <w:rsid w:val="00BB6AC8"/>
    <w:rsid w:val="00BC24E8"/>
    <w:rsid w:val="00BD2D70"/>
    <w:rsid w:val="00BD78FA"/>
    <w:rsid w:val="00BD7F66"/>
    <w:rsid w:val="00BE141B"/>
    <w:rsid w:val="00BE22B4"/>
    <w:rsid w:val="00BE7251"/>
    <w:rsid w:val="00BF3C48"/>
    <w:rsid w:val="00BF4332"/>
    <w:rsid w:val="00C00A95"/>
    <w:rsid w:val="00C0431E"/>
    <w:rsid w:val="00C064DB"/>
    <w:rsid w:val="00C06704"/>
    <w:rsid w:val="00C067A7"/>
    <w:rsid w:val="00C07877"/>
    <w:rsid w:val="00C10612"/>
    <w:rsid w:val="00C10C72"/>
    <w:rsid w:val="00C11B70"/>
    <w:rsid w:val="00C15AF5"/>
    <w:rsid w:val="00C169E6"/>
    <w:rsid w:val="00C24849"/>
    <w:rsid w:val="00C32D08"/>
    <w:rsid w:val="00C32D96"/>
    <w:rsid w:val="00C40FD5"/>
    <w:rsid w:val="00C42561"/>
    <w:rsid w:val="00C52C60"/>
    <w:rsid w:val="00C539D1"/>
    <w:rsid w:val="00C5722D"/>
    <w:rsid w:val="00C60EEB"/>
    <w:rsid w:val="00C648DD"/>
    <w:rsid w:val="00C802BE"/>
    <w:rsid w:val="00C8050E"/>
    <w:rsid w:val="00C80AB3"/>
    <w:rsid w:val="00C8166E"/>
    <w:rsid w:val="00C82C6A"/>
    <w:rsid w:val="00C85649"/>
    <w:rsid w:val="00C856D3"/>
    <w:rsid w:val="00C861F0"/>
    <w:rsid w:val="00C86F34"/>
    <w:rsid w:val="00CA55E2"/>
    <w:rsid w:val="00CB43CD"/>
    <w:rsid w:val="00CC59EA"/>
    <w:rsid w:val="00CD08F6"/>
    <w:rsid w:val="00CD3F07"/>
    <w:rsid w:val="00CD6997"/>
    <w:rsid w:val="00CE23D2"/>
    <w:rsid w:val="00CE3952"/>
    <w:rsid w:val="00CF1AD8"/>
    <w:rsid w:val="00CF4019"/>
    <w:rsid w:val="00D062C1"/>
    <w:rsid w:val="00D123F1"/>
    <w:rsid w:val="00D13958"/>
    <w:rsid w:val="00D14C07"/>
    <w:rsid w:val="00D16A96"/>
    <w:rsid w:val="00D17D13"/>
    <w:rsid w:val="00D2055B"/>
    <w:rsid w:val="00D23E26"/>
    <w:rsid w:val="00D23ECF"/>
    <w:rsid w:val="00D270DE"/>
    <w:rsid w:val="00D314CC"/>
    <w:rsid w:val="00D33852"/>
    <w:rsid w:val="00D33ED9"/>
    <w:rsid w:val="00D370E0"/>
    <w:rsid w:val="00D44B25"/>
    <w:rsid w:val="00D46346"/>
    <w:rsid w:val="00D50BB9"/>
    <w:rsid w:val="00D50CB1"/>
    <w:rsid w:val="00D566B7"/>
    <w:rsid w:val="00D6010C"/>
    <w:rsid w:val="00D60F73"/>
    <w:rsid w:val="00D714BE"/>
    <w:rsid w:val="00D76853"/>
    <w:rsid w:val="00D8331C"/>
    <w:rsid w:val="00D84091"/>
    <w:rsid w:val="00D93077"/>
    <w:rsid w:val="00D942FF"/>
    <w:rsid w:val="00D9471A"/>
    <w:rsid w:val="00D9669D"/>
    <w:rsid w:val="00DA5322"/>
    <w:rsid w:val="00DB6113"/>
    <w:rsid w:val="00DC2E5E"/>
    <w:rsid w:val="00DC326E"/>
    <w:rsid w:val="00DD0B7E"/>
    <w:rsid w:val="00DD0DDA"/>
    <w:rsid w:val="00DD6B1D"/>
    <w:rsid w:val="00DD7E40"/>
    <w:rsid w:val="00DD7FCA"/>
    <w:rsid w:val="00DE2E2D"/>
    <w:rsid w:val="00DE3B56"/>
    <w:rsid w:val="00DF03DA"/>
    <w:rsid w:val="00DF22F9"/>
    <w:rsid w:val="00DF318D"/>
    <w:rsid w:val="00DF5FBA"/>
    <w:rsid w:val="00E00AB7"/>
    <w:rsid w:val="00E05E8F"/>
    <w:rsid w:val="00E115B4"/>
    <w:rsid w:val="00E27930"/>
    <w:rsid w:val="00E30418"/>
    <w:rsid w:val="00E33010"/>
    <w:rsid w:val="00E34D9E"/>
    <w:rsid w:val="00E36095"/>
    <w:rsid w:val="00E43FCD"/>
    <w:rsid w:val="00E45B6E"/>
    <w:rsid w:val="00E50401"/>
    <w:rsid w:val="00E50F53"/>
    <w:rsid w:val="00E53C38"/>
    <w:rsid w:val="00E609ED"/>
    <w:rsid w:val="00E61989"/>
    <w:rsid w:val="00E6285F"/>
    <w:rsid w:val="00E6787C"/>
    <w:rsid w:val="00E71A07"/>
    <w:rsid w:val="00E75352"/>
    <w:rsid w:val="00E76994"/>
    <w:rsid w:val="00E8347B"/>
    <w:rsid w:val="00E8437D"/>
    <w:rsid w:val="00E854B5"/>
    <w:rsid w:val="00E86723"/>
    <w:rsid w:val="00E873AE"/>
    <w:rsid w:val="00E96017"/>
    <w:rsid w:val="00EA7A32"/>
    <w:rsid w:val="00EB173E"/>
    <w:rsid w:val="00EB5941"/>
    <w:rsid w:val="00EC08F9"/>
    <w:rsid w:val="00EC2276"/>
    <w:rsid w:val="00EC5400"/>
    <w:rsid w:val="00ED3396"/>
    <w:rsid w:val="00ED4F88"/>
    <w:rsid w:val="00ED6C05"/>
    <w:rsid w:val="00EE2CA8"/>
    <w:rsid w:val="00EE5151"/>
    <w:rsid w:val="00EE5F6D"/>
    <w:rsid w:val="00EF4E1F"/>
    <w:rsid w:val="00F01158"/>
    <w:rsid w:val="00F012BB"/>
    <w:rsid w:val="00F05451"/>
    <w:rsid w:val="00F2068C"/>
    <w:rsid w:val="00F244B0"/>
    <w:rsid w:val="00F2757F"/>
    <w:rsid w:val="00F31DD1"/>
    <w:rsid w:val="00F339FE"/>
    <w:rsid w:val="00F365A2"/>
    <w:rsid w:val="00F4004D"/>
    <w:rsid w:val="00F41C8F"/>
    <w:rsid w:val="00F424D6"/>
    <w:rsid w:val="00F45A43"/>
    <w:rsid w:val="00F52EF1"/>
    <w:rsid w:val="00F65F47"/>
    <w:rsid w:val="00F74E8A"/>
    <w:rsid w:val="00F76F2A"/>
    <w:rsid w:val="00F7730D"/>
    <w:rsid w:val="00F800BE"/>
    <w:rsid w:val="00F82BC4"/>
    <w:rsid w:val="00F848F1"/>
    <w:rsid w:val="00F854EB"/>
    <w:rsid w:val="00F91BF3"/>
    <w:rsid w:val="00FB219A"/>
    <w:rsid w:val="00FB2EA3"/>
    <w:rsid w:val="00FB4523"/>
    <w:rsid w:val="00FB686A"/>
    <w:rsid w:val="00FB6C66"/>
    <w:rsid w:val="00FB7A54"/>
    <w:rsid w:val="00FD2E82"/>
    <w:rsid w:val="00FD34F5"/>
    <w:rsid w:val="00FE0B32"/>
    <w:rsid w:val="00FE258B"/>
    <w:rsid w:val="00FF0C98"/>
    <w:rsid w:val="00FF1181"/>
    <w:rsid w:val="00FF191F"/>
    <w:rsid w:val="00FF754B"/>
    <w:rsid w:val="1F5B9BEE"/>
    <w:rsid w:val="2F5EE755"/>
    <w:rsid w:val="2FBE865D"/>
    <w:rsid w:val="34FF5298"/>
    <w:rsid w:val="4FFF28F8"/>
    <w:rsid w:val="6EFB4DC6"/>
    <w:rsid w:val="7775BBF7"/>
    <w:rsid w:val="79F7D70F"/>
    <w:rsid w:val="7B7DC4E5"/>
    <w:rsid w:val="7BFFBF50"/>
    <w:rsid w:val="7F7FFD40"/>
    <w:rsid w:val="8E71B8EE"/>
    <w:rsid w:val="AFFF89B1"/>
    <w:rsid w:val="BFB96151"/>
    <w:rsid w:val="BFDB5CBB"/>
    <w:rsid w:val="DFBF0D59"/>
    <w:rsid w:val="EDEF63F6"/>
    <w:rsid w:val="EFBB894C"/>
    <w:rsid w:val="FFDC99D2"/>
    <w:rsid w:val="FFDEE3A6"/>
  </w:rsids>
  <m:mathPr>
    <m:mathFont m:val="Cambria Math"/>
    <m:brkBin m:val="before"/>
    <m:brkBinSub m:val="--"/>
    <m:smallFrac m:val="1"/>
    <m:dispDef/>
    <m:lMargin m:val="0"/>
    <m:rMargin m:val="0"/>
    <m:defJc m:val="centerGroup"/>
    <m:wrapIndent m:val="1440"/>
    <m:intLim m:val="subSup"/>
    <m:naryLim m:val="undOvr"/>
  </m:mathPr>
  <w:themeFontLang w:val="en-US" w:eastAsia="zh-CN" w:bidi="gu-I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nhideWhenUsed="0" w:uiPriority="0" w:semiHidden="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semiHidden="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qFormat="1" w:unhideWhenUsed="0" w:uiPriority="0" w:semiHidden="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qFormat="1" w:unhideWhenUsed="0" w:uiPriority="99"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en-US" w:bidi="ar-SA"/>
    </w:rPr>
  </w:style>
  <w:style w:type="paragraph" w:styleId="2">
    <w:name w:val="heading 1"/>
    <w:basedOn w:val="1"/>
    <w:next w:val="1"/>
    <w:link w:val="21"/>
    <w:qFormat/>
    <w:uiPriority w:val="0"/>
    <w:pPr>
      <w:keepNext/>
      <w:keepLines/>
      <w:spacing w:before="480"/>
      <w:outlineLvl w:val="0"/>
    </w:pPr>
    <w:rPr>
      <w:rFonts w:asciiTheme="majorHAnsi" w:hAnsiTheme="majorHAnsi" w:eastAsiaTheme="majorEastAsia" w:cstheme="majorBidi"/>
      <w:b/>
      <w:bCs/>
      <w:color w:val="376092" w:themeColor="accent1" w:themeShade="BF"/>
      <w:sz w:val="28"/>
      <w:szCs w:val="28"/>
    </w:rPr>
  </w:style>
  <w:style w:type="paragraph" w:styleId="3">
    <w:name w:val="heading 3"/>
    <w:basedOn w:val="1"/>
    <w:next w:val="1"/>
    <w:link w:val="29"/>
    <w:qFormat/>
    <w:uiPriority w:val="0"/>
    <w:pPr>
      <w:ind w:left="360"/>
      <w:outlineLvl w:val="2"/>
    </w:pPr>
    <w:rPr>
      <w:rFonts w:ascii="Arial" w:hAnsi="Arial"/>
      <w:b/>
      <w:szCs w:val="20"/>
    </w:rPr>
  </w:style>
  <w:style w:type="paragraph" w:styleId="4">
    <w:name w:val="heading 4"/>
    <w:basedOn w:val="1"/>
    <w:next w:val="1"/>
    <w:qFormat/>
    <w:uiPriority w:val="0"/>
    <w:pPr>
      <w:keepNext/>
      <w:spacing w:before="240" w:after="60"/>
      <w:outlineLvl w:val="3"/>
    </w:pPr>
    <w:rPr>
      <w:b/>
      <w:bCs/>
      <w:sz w:val="28"/>
      <w:szCs w:val="28"/>
    </w:rPr>
  </w:style>
  <w:style w:type="character" w:default="1" w:styleId="5">
    <w:name w:val="Default Paragraph Font"/>
    <w:semiHidden/>
    <w:unhideWhenUsed/>
    <w:qFormat/>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7">
    <w:name w:val="Balloon Text"/>
    <w:basedOn w:val="1"/>
    <w:semiHidden/>
    <w:qFormat/>
    <w:uiPriority w:val="0"/>
    <w:rPr>
      <w:rFonts w:ascii="Tahoma" w:hAnsi="Tahoma" w:cs="Tahoma"/>
      <w:sz w:val="16"/>
      <w:szCs w:val="16"/>
    </w:rPr>
  </w:style>
  <w:style w:type="paragraph" w:styleId="8">
    <w:name w:val="Body Text"/>
    <w:basedOn w:val="1"/>
    <w:qFormat/>
    <w:uiPriority w:val="0"/>
    <w:pPr>
      <w:spacing w:after="120"/>
    </w:pPr>
  </w:style>
  <w:style w:type="paragraph" w:styleId="9">
    <w:name w:val="Body Text 3"/>
    <w:basedOn w:val="1"/>
    <w:qFormat/>
    <w:uiPriority w:val="0"/>
    <w:pPr>
      <w:jc w:val="both"/>
    </w:pPr>
    <w:rPr>
      <w:szCs w:val="20"/>
      <w:lang w:val="en-AU"/>
    </w:rPr>
  </w:style>
  <w:style w:type="paragraph" w:styleId="10">
    <w:name w:val="Body Text Indent"/>
    <w:basedOn w:val="1"/>
    <w:qFormat/>
    <w:uiPriority w:val="0"/>
    <w:pPr>
      <w:spacing w:after="120"/>
      <w:ind w:left="283"/>
    </w:pPr>
  </w:style>
  <w:style w:type="paragraph" w:styleId="11">
    <w:name w:val="caption"/>
    <w:basedOn w:val="1"/>
    <w:next w:val="1"/>
    <w:unhideWhenUsed/>
    <w:qFormat/>
    <w:uiPriority w:val="0"/>
    <w:pPr>
      <w:spacing w:after="200"/>
    </w:pPr>
    <w:rPr>
      <w:b/>
      <w:bCs/>
      <w:color w:val="4F81BD" w:themeColor="accent1"/>
      <w:sz w:val="18"/>
      <w:szCs w:val="18"/>
      <w14:textFill>
        <w14:solidFill>
          <w14:schemeClr w14:val="accent1"/>
        </w14:solidFill>
      </w14:textFill>
    </w:rPr>
  </w:style>
  <w:style w:type="character" w:styleId="12">
    <w:name w:val="FollowedHyperlink"/>
    <w:basedOn w:val="5"/>
    <w:qFormat/>
    <w:uiPriority w:val="0"/>
    <w:rPr>
      <w:color w:val="800080"/>
      <w:u w:val="single"/>
    </w:rPr>
  </w:style>
  <w:style w:type="paragraph" w:styleId="13">
    <w:name w:val="footer"/>
    <w:basedOn w:val="1"/>
    <w:link w:val="23"/>
    <w:qFormat/>
    <w:uiPriority w:val="99"/>
    <w:pPr>
      <w:tabs>
        <w:tab w:val="center" w:pos="4320"/>
        <w:tab w:val="right" w:pos="8640"/>
      </w:tabs>
    </w:pPr>
    <w:rPr>
      <w:rFonts w:ascii="Arial" w:hAnsi="Arial"/>
      <w:szCs w:val="20"/>
    </w:rPr>
  </w:style>
  <w:style w:type="paragraph" w:styleId="14">
    <w:name w:val="header"/>
    <w:basedOn w:val="1"/>
    <w:qFormat/>
    <w:uiPriority w:val="0"/>
    <w:pPr>
      <w:tabs>
        <w:tab w:val="center" w:pos="4320"/>
        <w:tab w:val="right" w:pos="8640"/>
      </w:tabs>
    </w:pPr>
  </w:style>
  <w:style w:type="paragraph" w:styleId="15">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hAnsi="Arial Unicode MS" w:eastAsia="Arial Unicode MS" w:cs="Arial Unicode MS"/>
      <w:sz w:val="20"/>
      <w:szCs w:val="20"/>
      <w:lang w:val="en-AU"/>
    </w:rPr>
  </w:style>
  <w:style w:type="character" w:styleId="16">
    <w:name w:val="Hyperlink"/>
    <w:basedOn w:val="5"/>
    <w:qFormat/>
    <w:uiPriority w:val="0"/>
    <w:rPr>
      <w:color w:val="0000FF"/>
      <w:u w:val="single"/>
    </w:rPr>
  </w:style>
  <w:style w:type="paragraph" w:styleId="17">
    <w:name w:val="Plain Text"/>
    <w:basedOn w:val="1"/>
    <w:qFormat/>
    <w:uiPriority w:val="0"/>
    <w:rPr>
      <w:rFonts w:ascii="Courier New" w:hAnsi="Courier New"/>
      <w:sz w:val="20"/>
      <w:szCs w:val="20"/>
      <w:lang w:val="en-AU"/>
    </w:rPr>
  </w:style>
  <w:style w:type="character" w:styleId="18">
    <w:name w:val="Strong"/>
    <w:basedOn w:val="5"/>
    <w:qFormat/>
    <w:uiPriority w:val="22"/>
    <w:rPr>
      <w:b/>
      <w:bCs/>
    </w:rPr>
  </w:style>
  <w:style w:type="table" w:styleId="19">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StylePr w:type="firstRow">
      <w:rPr>
        <w:rFonts w:ascii="Arial" w:hAnsi="Arial"/>
        <w:color w:val="95B3D7" w:themeColor="accent1" w:themeTint="99"/>
        <w14:textFill>
          <w14:solidFill>
            <w14:schemeClr w14:val="accent1">
              <w14:lumMod w14:val="60000"/>
              <w14:lumOff w14:val="40000"/>
            </w14:schemeClr>
          </w14:solidFill>
        </w14:textFill>
      </w:rPr>
      <w:tcPr>
        <w:shd w:val="clear" w:color="auto" w:fill="0F243E" w:themeFill="text2" w:themeFillShade="80"/>
      </w:tcPr>
    </w:tblStylePr>
    <w:tblStylePr w:type="band1Horz">
      <w:tcPr>
        <w:shd w:val="clear" w:color="auto" w:fill="C6D9F0" w:themeFill="text2" w:themeFillTint="33"/>
      </w:tcPr>
    </w:tblStylePr>
  </w:style>
  <w:style w:type="paragraph" w:customStyle="1" w:styleId="20">
    <w:name w:val="Normal 1"/>
    <w:basedOn w:val="1"/>
    <w:qFormat/>
    <w:uiPriority w:val="0"/>
    <w:pPr>
      <w:jc w:val="both"/>
    </w:pPr>
    <w:rPr>
      <w:rFonts w:ascii="Times" w:hAnsi="Times"/>
      <w:szCs w:val="20"/>
      <w:lang w:val="en-GB"/>
    </w:rPr>
  </w:style>
  <w:style w:type="character" w:customStyle="1" w:styleId="21">
    <w:name w:val="Heading 1 Char"/>
    <w:basedOn w:val="5"/>
    <w:link w:val="2"/>
    <w:qFormat/>
    <w:uiPriority w:val="0"/>
    <w:rPr>
      <w:rFonts w:asciiTheme="majorHAnsi" w:hAnsiTheme="majorHAnsi" w:eastAsiaTheme="majorEastAsia" w:cstheme="majorBidi"/>
      <w:b/>
      <w:bCs/>
      <w:color w:val="376092" w:themeColor="accent1" w:themeShade="BF"/>
      <w:sz w:val="28"/>
      <w:szCs w:val="28"/>
      <w:lang w:val="en-US" w:eastAsia="en-US"/>
    </w:rPr>
  </w:style>
  <w:style w:type="paragraph" w:styleId="22">
    <w:name w:val="List Paragraph"/>
    <w:basedOn w:val="1"/>
    <w:link w:val="30"/>
    <w:qFormat/>
    <w:uiPriority w:val="34"/>
    <w:pPr>
      <w:ind w:left="720"/>
      <w:contextualSpacing/>
    </w:pPr>
  </w:style>
  <w:style w:type="character" w:customStyle="1" w:styleId="23">
    <w:name w:val="Footer Char"/>
    <w:basedOn w:val="5"/>
    <w:link w:val="13"/>
    <w:qFormat/>
    <w:uiPriority w:val="99"/>
    <w:rPr>
      <w:rFonts w:ascii="Arial" w:hAnsi="Arial"/>
      <w:sz w:val="24"/>
      <w:lang w:val="en-US" w:eastAsia="en-US"/>
    </w:rPr>
  </w:style>
  <w:style w:type="character" w:customStyle="1" w:styleId="24">
    <w:name w:val="apple-style-span"/>
    <w:basedOn w:val="5"/>
    <w:qFormat/>
    <w:uiPriority w:val="0"/>
  </w:style>
  <w:style w:type="character" w:customStyle="1" w:styleId="25">
    <w:name w:val="apple-converted-space"/>
    <w:basedOn w:val="5"/>
    <w:qFormat/>
    <w:uiPriority w:val="0"/>
  </w:style>
  <w:style w:type="character" w:customStyle="1" w:styleId="26">
    <w:name w:val="go"/>
    <w:basedOn w:val="5"/>
    <w:qFormat/>
    <w:uiPriority w:val="0"/>
  </w:style>
  <w:style w:type="character" w:customStyle="1" w:styleId="27">
    <w:name w:val="No Spacing Char"/>
    <w:link w:val="28"/>
    <w:qFormat/>
    <w:locked/>
    <w:uiPriority w:val="99"/>
    <w:rPr>
      <w:lang w:val="en-US" w:eastAsia="en-IN"/>
    </w:rPr>
  </w:style>
  <w:style w:type="paragraph" w:styleId="28">
    <w:name w:val="No Spacing"/>
    <w:link w:val="27"/>
    <w:qFormat/>
    <w:uiPriority w:val="99"/>
    <w:rPr>
      <w:rFonts w:ascii="Times New Roman" w:hAnsi="Times New Roman" w:eastAsia="Times New Roman" w:cs="Times New Roman"/>
      <w:lang w:val="en-US" w:eastAsia="en-IN" w:bidi="ar-SA"/>
    </w:rPr>
  </w:style>
  <w:style w:type="character" w:customStyle="1" w:styleId="29">
    <w:name w:val="Heading 3 Char"/>
    <w:link w:val="3"/>
    <w:qFormat/>
    <w:uiPriority w:val="0"/>
    <w:rPr>
      <w:rFonts w:ascii="Arial" w:hAnsi="Arial"/>
      <w:b/>
      <w:sz w:val="24"/>
      <w:lang w:val="en-US" w:eastAsia="en-US"/>
    </w:rPr>
  </w:style>
  <w:style w:type="character" w:customStyle="1" w:styleId="30">
    <w:name w:val="List Paragraph Char"/>
    <w:link w:val="22"/>
    <w:qFormat/>
    <w:uiPriority w:val="34"/>
    <w:rPr>
      <w:sz w:val="24"/>
      <w:szCs w:val="24"/>
      <w:lang w:val="en-US" w:eastAsia="en-US"/>
    </w:rPr>
  </w:style>
  <w:style w:type="character" w:customStyle="1" w:styleId="31">
    <w:name w:val="y0nh2b"/>
    <w:basedOn w:val="5"/>
    <w:qFormat/>
    <w:uiPriority w:val="0"/>
  </w:style>
  <w:style w:type="character" w:customStyle="1" w:styleId="32">
    <w:name w:val="author"/>
    <w:basedOn w:val="5"/>
    <w:qFormat/>
    <w:uiPriority w:val="0"/>
  </w:style>
  <w:style w:type="character" w:customStyle="1" w:styleId="33">
    <w:name w:val="a-color-secondary"/>
    <w:basedOn w:val="5"/>
    <w:qFormat/>
    <w:uiPriority w:val="0"/>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home/faculty/C:\Users\SANDEE~1\AppData\Local\Temp\Subject_outline_Template_indu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Subject_outline_Template_indus</Template>
  <Company>University of Wollongong</Company>
  <Pages>8</Pages>
  <Words>1482</Words>
  <Characters>8451</Characters>
  <Lines>70</Lines>
  <Paragraphs>19</Paragraphs>
  <TotalTime>1</TotalTime>
  <ScaleCrop>false</ScaleCrop>
  <LinksUpToDate>false</LinksUpToDate>
  <CharactersWithSpaces>9914</CharactersWithSpaces>
  <Application>WPS Office_11.1.0.9080_F1E327BC-269C-435d-A152-05C5408002CA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2020-06-17T15:21:00Z</dcterms:created>
  <dc:creator>Sandeep Chakravorty</dc:creator>
  <cp:lastModifiedBy>faculty</cp:lastModifiedBy>
  <cp:lastPrinted>2018-07-10T21:31:00Z</cp:lastPrinted>
  <dcterms:modified xsi:type="dcterms:W3CDTF">2020-06-20T11:50:49Z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1033-11.1.0.9080</vt:lpwstr>
  </property>
</Properties>
</file>