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Name of Faculty: Dr. Anokhi shah</w:t>
      </w:r>
    </w:p>
    <w:p/>
    <w:p>
      <w:pPr>
        <w:pStyle w:val="3"/>
        <w:ind w:left="0"/>
        <w:jc w:val="both"/>
        <w:rPr>
          <w:rFonts w:cs="Arial"/>
          <w:szCs w:val="24"/>
          <w:lang w:val="en-AU"/>
        </w:rPr>
      </w:pPr>
      <w:r>
        <w:rPr>
          <w:rFonts w:cs="Arial"/>
          <w:szCs w:val="24"/>
        </w:rPr>
        <w:t>Clinical Data Management</w:t>
      </w:r>
    </w:p>
    <w:p>
      <w:pPr>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UCR0502</w:t>
      </w:r>
    </w:p>
    <w:p>
      <w:pPr>
        <w:rPr>
          <w:rFonts w:ascii="Arial" w:hAnsi="Arial" w:cs="Arial"/>
          <w:color w:val="0033CC"/>
          <w:lang w:val="en-AU"/>
        </w:rPr>
      </w:pPr>
      <w:r>
        <w:rPr>
          <w:rFonts w:ascii="Arial" w:hAnsi="Arial" w:cs="Arial"/>
          <w:color w:val="0033CC"/>
          <w:lang w:val="en-AU"/>
        </w:rPr>
        <w:t>Course name:</w:t>
      </w:r>
      <w:r>
        <w:rPr>
          <w:b/>
          <w:color w:val="000000"/>
          <w:sz w:val="20"/>
          <w:szCs w:val="20"/>
          <w:lang w:eastAsia="en-IN"/>
        </w:rPr>
        <w:t xml:space="preserve"> B.SC CLINICAL RESEARCH AND HEALTHCARE MANAGEMENT</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Credit points: 3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Dr. 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600"/>
        </w:tabs>
        <w:rPr>
          <w:rFonts w:ascii="Arial" w:hAnsi="Arial" w:cs="Arial"/>
          <w:lang w:val="en-AU"/>
        </w:rPr>
      </w:pPr>
      <w:r>
        <w:rPr>
          <w:rFonts w:ascii="Arial" w:hAnsi="Arial" w:cs="Arial"/>
          <w:lang w:val="en-AU"/>
        </w:rPr>
        <w:t>Telephone: 9974702063</w:t>
      </w:r>
      <w:r>
        <w:rPr>
          <w:rFonts w:ascii="Arial" w:hAnsi="Arial" w:cs="Arial"/>
          <w:lang w:val="en-AU"/>
        </w:rPr>
        <w:tab/>
      </w:r>
    </w:p>
    <w:p>
      <w:pPr>
        <w:pStyle w:val="3"/>
        <w:shd w:val="clear" w:color="auto" w:fill="FFFFFF"/>
        <w:spacing w:line="300" w:lineRule="atLeast"/>
        <w:ind w:left="0"/>
        <w:rPr>
          <w:rFonts w:cs="Arial"/>
          <w:b w:val="0"/>
          <w:color w:val="5F6368"/>
          <w:spacing w:val="5"/>
          <w:szCs w:val="24"/>
        </w:rPr>
      </w:pPr>
      <w:r>
        <w:rPr>
          <w:rFonts w:cs="Arial"/>
          <w:b w:val="0"/>
          <w:szCs w:val="24"/>
          <w:lang w:val="en-AU"/>
        </w:rPr>
        <w:t>Email:</w:t>
      </w:r>
      <w:r>
        <w:rPr>
          <w:rStyle w:val="16"/>
          <w:rFonts w:cs="Arial"/>
          <w:b w:val="0"/>
          <w:color w:val="555555"/>
          <w:spacing w:val="5"/>
          <w:szCs w:val="24"/>
          <w:u w:val="none"/>
        </w:rPr>
        <w:t>anokhishah.cr@indusuni.ac.in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name:Dr.Anokhi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498"/>
        </w:tabs>
        <w:rPr>
          <w:rFonts w:ascii="Arial" w:hAnsi="Arial" w:cs="Arial"/>
          <w:lang w:val="en-AU"/>
        </w:rPr>
      </w:pPr>
      <w:r>
        <w:rPr>
          <w:rFonts w:ascii="Arial" w:hAnsi="Arial" w:cs="Arial"/>
          <w:lang w:val="en-AU"/>
        </w:rPr>
        <w:t>Telephone: 9974702063</w:t>
      </w:r>
      <w:r>
        <w:rPr>
          <w:rFonts w:ascii="Arial" w:hAnsi="Arial" w:cs="Arial"/>
          <w:lang w:val="en-AU"/>
        </w:rPr>
        <w:tab/>
      </w:r>
    </w:p>
    <w:p>
      <w:pPr>
        <w:rPr>
          <w:rFonts w:ascii="Arial" w:hAnsi="Arial" w:cs="Arial"/>
        </w:rPr>
      </w:pPr>
      <w:r>
        <w:rPr>
          <w:rFonts w:ascii="Arial" w:hAnsi="Arial" w:cs="Arial"/>
          <w:lang w:val="en-AU"/>
        </w:rPr>
        <w:t>Email:</w:t>
      </w:r>
      <w:r>
        <w:rPr>
          <w:rFonts w:ascii="Arial" w:hAnsi="Arial" w:cs="Arial"/>
        </w:rPr>
        <w:t>Anokhishah.cr@indusuni.ac.in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rPr>
          <w:rFonts w:ascii="Arial" w:hAnsi="Arial" w:cs="Arial"/>
          <w:color w:val="000000" w:themeColor="text1"/>
          <w14:textFill>
            <w14:solidFill>
              <w14:schemeClr w14:val="tx1"/>
            </w14:solidFill>
          </w14:textFill>
        </w:rPr>
      </w:pPr>
      <w:r>
        <w:rPr>
          <w:rFonts w:ascii="Arial" w:hAnsi="Arial" w:cs="Arial"/>
          <w:color w:val="000000"/>
        </w:rPr>
        <w:t>1 To learn about Advance in</w:t>
      </w:r>
      <w:r>
        <w:rPr>
          <w:rFonts w:ascii="Arial" w:hAnsi="Arial" w:cs="Arial"/>
          <w:color w:val="000000" w:themeColor="text1"/>
          <w:lang w:val="en-AU"/>
          <w14:textFill>
            <w14:solidFill>
              <w14:schemeClr w14:val="tx1"/>
            </w14:solidFill>
          </w14:textFill>
        </w:rPr>
        <w:t>clinical data management</w:t>
      </w:r>
      <w:r>
        <w:rPr>
          <w:rFonts w:ascii="Arial" w:hAnsi="Arial" w:cs="Arial"/>
          <w:color w:val="000000" w:themeColor="text1"/>
          <w14:textFill>
            <w14:solidFill>
              <w14:schemeClr w14:val="tx1"/>
            </w14:solidFill>
          </w14:textFill>
        </w:rPr>
        <w:t>applications.</w:t>
      </w:r>
    </w:p>
    <w:p>
      <w:pPr>
        <w:rPr>
          <w:rFonts w:ascii="Arial" w:hAnsi="Arial" w:cs="Arial"/>
        </w:rPr>
      </w:pPr>
    </w:p>
    <w:p>
      <w:pPr>
        <w:rPr>
          <w:rFonts w:ascii="Arial" w:hAnsi="Arial" w:cs="Arial"/>
        </w:rPr>
      </w:pPr>
      <w:r>
        <w:rPr>
          <w:rFonts w:ascii="Arial" w:hAnsi="Arial" w:cs="Arial"/>
        </w:rPr>
        <w:t>Course Outcomes (CO)</w:t>
      </w:r>
    </w:p>
    <w:p>
      <w:pPr>
        <w:rPr>
          <w:rFonts w:ascii="Arial" w:hAnsi="Arial" w:cs="Arial"/>
        </w:rPr>
      </w:pPr>
      <w:r>
        <w:rPr>
          <w:rFonts w:ascii="Arial" w:hAnsi="Arial" w:cs="Arial"/>
        </w:rPr>
        <w:t>After successful completion of course, student will able to understand,</w:t>
      </w:r>
    </w:p>
    <w:p>
      <w:pPr>
        <w:numPr>
          <w:ilvl w:val="0"/>
          <w:numId w:val="1"/>
        </w:numPr>
        <w:suppressAutoHyphens/>
        <w:jc w:val="both"/>
        <w:rPr>
          <w:sz w:val="21"/>
          <w:szCs w:val="21"/>
        </w:rPr>
      </w:pPr>
      <w:r>
        <w:rPr>
          <w:sz w:val="21"/>
          <w:szCs w:val="21"/>
        </w:rPr>
        <w:t>Creating data repository for reference, compliance &amp; retrieval.</w:t>
      </w:r>
    </w:p>
    <w:p>
      <w:pPr>
        <w:numPr>
          <w:ilvl w:val="0"/>
          <w:numId w:val="1"/>
        </w:numPr>
        <w:suppressAutoHyphens/>
        <w:jc w:val="both"/>
        <w:rPr>
          <w:sz w:val="21"/>
          <w:szCs w:val="21"/>
        </w:rPr>
      </w:pPr>
      <w:r>
        <w:rPr>
          <w:sz w:val="21"/>
          <w:szCs w:val="21"/>
        </w:rPr>
        <w:t>To learn about different types of coding dictionaries</w:t>
      </w:r>
    </w:p>
    <w:p>
      <w:pPr>
        <w:numPr>
          <w:ilvl w:val="0"/>
          <w:numId w:val="1"/>
        </w:numPr>
        <w:suppressAutoHyphens/>
        <w:jc w:val="both"/>
        <w:rPr>
          <w:sz w:val="21"/>
          <w:szCs w:val="21"/>
        </w:rPr>
      </w:pPr>
      <w:r>
        <w:rPr>
          <w:sz w:val="21"/>
          <w:szCs w:val="21"/>
        </w:rPr>
        <w:t>To learn about types and queries and management</w:t>
      </w:r>
    </w:p>
    <w:p>
      <w:pPr>
        <w:rPr>
          <w:rFonts w:ascii="Arial" w:hAnsi="Arial" w:cs="Arial"/>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pStyle w:val="22"/>
        <w:ind w:left="0"/>
        <w:rPr>
          <w:rFonts w:ascii="Arial" w:hAnsi="Arial" w:cs="Arial"/>
          <w:b/>
          <w:bCs/>
          <w:color w:val="000000"/>
          <w:sz w:val="22"/>
          <w:szCs w:val="22"/>
        </w:rPr>
      </w:pPr>
      <w:r>
        <w:rPr>
          <w:rFonts w:ascii="Arial" w:hAnsi="Arial" w:cs="Arial"/>
          <w:b/>
          <w:bCs/>
          <w:color w:val="000000"/>
          <w:sz w:val="22"/>
          <w:szCs w:val="22"/>
        </w:rPr>
        <w:t>Course Content:</w:t>
      </w:r>
    </w:p>
    <w:p>
      <w:pPr>
        <w:pStyle w:val="22"/>
        <w:ind w:left="0"/>
        <w:rPr>
          <w:rFonts w:ascii="Arial" w:hAnsi="Arial" w:cs="Arial"/>
          <w:b/>
          <w:bCs/>
          <w:color w:val="000000"/>
          <w:sz w:val="22"/>
          <w:szCs w:val="22"/>
        </w:rPr>
      </w:pPr>
    </w:p>
    <w:p>
      <w:pPr>
        <w:pStyle w:val="22"/>
        <w:ind w:left="0"/>
        <w:rPr>
          <w:rFonts w:ascii="Arial" w:hAnsi="Arial" w:cs="Arial"/>
          <w:color w:val="000000"/>
          <w:sz w:val="22"/>
          <w:szCs w:val="22"/>
        </w:rPr>
      </w:pPr>
    </w:p>
    <w:p>
      <w:pPr>
        <w:jc w:val="both"/>
        <w:rPr>
          <w:b/>
          <w:sz w:val="21"/>
          <w:szCs w:val="21"/>
        </w:rPr>
      </w:pPr>
      <w:r>
        <w:rPr>
          <w:b/>
          <w:sz w:val="21"/>
          <w:szCs w:val="21"/>
        </w:rPr>
        <w:t xml:space="preserve">Unit 1 Introduction to Clinical Data Management and SOPs  </w:t>
      </w:r>
      <w:r>
        <w:rPr>
          <w:b/>
          <w:sz w:val="21"/>
          <w:szCs w:val="21"/>
        </w:rPr>
        <w:tab/>
      </w:r>
      <w:r>
        <w:rPr>
          <w:b/>
          <w:sz w:val="21"/>
          <w:szCs w:val="21"/>
        </w:rPr>
        <w:tab/>
      </w:r>
      <w:r>
        <w:rPr>
          <w:b/>
          <w:sz w:val="21"/>
          <w:szCs w:val="21"/>
        </w:rPr>
        <w:tab/>
      </w:r>
      <w:r>
        <w:rPr>
          <w:b/>
          <w:sz w:val="21"/>
          <w:szCs w:val="21"/>
        </w:rPr>
        <w:tab/>
      </w:r>
    </w:p>
    <w:p>
      <w:pPr>
        <w:jc w:val="both"/>
        <w:rPr>
          <w:sz w:val="21"/>
          <w:szCs w:val="21"/>
        </w:rPr>
      </w:pPr>
      <w:r>
        <w:rPr>
          <w:sz w:val="21"/>
          <w:szCs w:val="21"/>
        </w:rPr>
        <w:t xml:space="preserve">Introduction to CDM, Computer system validation (CSV), Clinical Data Management flow, Data Management team, Roles and responsibilities of key team members and sponsor, SOPs of data Management, review and authorization. CRF design , Procedure for CRF design, elements of CRF, data points to be captured in individual CRFs. Database design and build ,Introduction to data base design and build, data base design, data base validation. Clinical data entry process, Data entry screen validation, data entry process, symbols, data entering. Guidelines and regulations in Clinical Trial data. </w:t>
      </w:r>
    </w:p>
    <w:p>
      <w:pPr>
        <w:jc w:val="both"/>
        <w:rPr>
          <w:b/>
          <w:sz w:val="21"/>
          <w:szCs w:val="21"/>
        </w:rPr>
      </w:pPr>
    </w:p>
    <w:p>
      <w:pPr>
        <w:jc w:val="both"/>
        <w:rPr>
          <w:b/>
          <w:sz w:val="21"/>
          <w:szCs w:val="21"/>
        </w:rPr>
      </w:pPr>
      <w:r>
        <w:rPr>
          <w:b/>
          <w:sz w:val="21"/>
          <w:szCs w:val="21"/>
        </w:rPr>
        <w:t>Unit 2 Medical Coding, Query Management</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pPr>
        <w:jc w:val="both"/>
        <w:rPr>
          <w:sz w:val="21"/>
          <w:szCs w:val="21"/>
        </w:rPr>
      </w:pPr>
      <w:r>
        <w:rPr>
          <w:sz w:val="21"/>
          <w:szCs w:val="21"/>
        </w:rPr>
        <w:t xml:space="preserve">Introduction, Types of dictionaries, types of Coding </w:t>
      </w:r>
    </w:p>
    <w:p>
      <w:pPr>
        <w:jc w:val="both"/>
        <w:rPr>
          <w:sz w:val="21"/>
          <w:szCs w:val="21"/>
        </w:rPr>
      </w:pPr>
      <w:r>
        <w:rPr>
          <w:sz w:val="21"/>
          <w:szCs w:val="21"/>
        </w:rPr>
        <w:t xml:space="preserve">Types of queries, Management of queries, SAE reconciliation. </w:t>
      </w:r>
    </w:p>
    <w:p>
      <w:pPr>
        <w:jc w:val="both"/>
        <w:rPr>
          <w:b/>
          <w:sz w:val="21"/>
          <w:szCs w:val="21"/>
        </w:rPr>
      </w:pPr>
    </w:p>
    <w:p>
      <w:pPr>
        <w:jc w:val="both"/>
        <w:rPr>
          <w:b/>
          <w:sz w:val="21"/>
          <w:szCs w:val="21"/>
        </w:rPr>
      </w:pPr>
      <w:r>
        <w:rPr>
          <w:b/>
          <w:sz w:val="21"/>
          <w:szCs w:val="21"/>
        </w:rPr>
        <w:t xml:space="preserve">Unit 3 Quality control of clinical data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pPr>
        <w:jc w:val="both"/>
        <w:rPr>
          <w:sz w:val="21"/>
          <w:szCs w:val="21"/>
        </w:rPr>
      </w:pPr>
      <w:r>
        <w:rPr>
          <w:sz w:val="21"/>
          <w:szCs w:val="21"/>
        </w:rPr>
        <w:t xml:space="preserve">Terminology and definitions, quality control process, data errors and quality measurement, responsibilities, operational QC, data management matrix, QA in Clinical data management. </w:t>
      </w:r>
    </w:p>
    <w:p>
      <w:pPr>
        <w:jc w:val="both"/>
        <w:rPr>
          <w:b/>
          <w:sz w:val="21"/>
          <w:szCs w:val="21"/>
        </w:rPr>
      </w:pPr>
    </w:p>
    <w:p>
      <w:pPr>
        <w:jc w:val="both"/>
        <w:rPr>
          <w:b/>
          <w:sz w:val="21"/>
          <w:szCs w:val="21"/>
        </w:rPr>
      </w:pPr>
      <w:r>
        <w:rPr>
          <w:b/>
          <w:sz w:val="21"/>
          <w:szCs w:val="21"/>
        </w:rPr>
        <w:t xml:space="preserve">Unit 4 Electronic data  management and Database lock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pPr>
        <w:jc w:val="both"/>
        <w:rPr>
          <w:b/>
          <w:sz w:val="21"/>
          <w:szCs w:val="21"/>
        </w:rPr>
      </w:pPr>
      <w:r>
        <w:rPr>
          <w:sz w:val="21"/>
          <w:szCs w:val="21"/>
        </w:rPr>
        <w:t xml:space="preserve">Introduction to data base lock, minimum standards, procedure, errors found after database closure, freezing the data base, best practices, recommended Standard Operating Procedures. Introduction to data transfer, procedure, best practices. </w:t>
      </w:r>
      <w:r>
        <w:rPr>
          <w:b/>
          <w:sz w:val="21"/>
          <w:szCs w:val="21"/>
        </w:rPr>
        <w:tab/>
      </w:r>
      <w:r>
        <w:rPr>
          <w:b/>
          <w:sz w:val="21"/>
          <w:szCs w:val="21"/>
        </w:rPr>
        <w:tab/>
      </w:r>
    </w:p>
    <w:p>
      <w:pPr>
        <w:jc w:val="both"/>
        <w:rPr>
          <w:sz w:val="21"/>
          <w:szCs w:val="21"/>
        </w:rPr>
      </w:pPr>
      <w:r>
        <w:rPr>
          <w:sz w:val="21"/>
          <w:szCs w:val="21"/>
        </w:rPr>
        <w:t xml:space="preserve">Electronic data interchange-Architecture for EDI, Advantages of using EDI, barriers to implementation, positives and negatives, Lab data loading -Roles and responsibilities of lab loader technician, helpdesk, study coordinator, -loading lab data, electronic/lab file contents, typical problems, lab data findings, Quality Assurance, SOPs for processing lab data, taking lab data seriously. </w:t>
      </w:r>
    </w:p>
    <w:p>
      <w:pPr>
        <w:pStyle w:val="22"/>
        <w:ind w:left="0"/>
        <w:rPr>
          <w:rFonts w:ascii="Arial" w:hAnsi="Arial" w:cs="Arial"/>
          <w:color w:val="000000"/>
          <w:sz w:val="22"/>
          <w:szCs w:val="22"/>
        </w:rPr>
      </w:pPr>
    </w:p>
    <w:p>
      <w:pPr>
        <w:jc w:val="center"/>
        <w:rPr>
          <w:b/>
          <w:bCs/>
          <w:color w:val="000000"/>
          <w:sz w:val="22"/>
          <w:szCs w:val="22"/>
          <w:u w:val="single"/>
        </w:rPr>
      </w:pPr>
    </w:p>
    <w:p>
      <w:pPr>
        <w:pStyle w:val="2"/>
        <w:rPr>
          <w:rFonts w:ascii="Arial" w:hAnsi="Arial" w:cs="Arial"/>
          <w:sz w:val="24"/>
          <w:szCs w:val="24"/>
        </w:rPr>
      </w:pPr>
      <w:r>
        <w:rPr>
          <w:rFonts w:ascii="Arial" w:hAnsi="Arial" w:cs="Arial"/>
          <w:sz w:val="24"/>
          <w:szCs w:val="24"/>
        </w:rPr>
        <w:t>Method of delivery</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hours/week</w:t>
      </w:r>
    </w:p>
    <w:p>
      <w:pPr>
        <w:ind w:left="567" w:hanging="567"/>
        <w:jc w:val="both"/>
        <w:rPr>
          <w:rFonts w:ascii="Arial" w:hAnsi="Arial" w:cs="Arial"/>
          <w:color w:val="000000" w:themeColor="text1"/>
          <w14:textFill>
            <w14:solidFill>
              <w14:schemeClr w14:val="tx1"/>
            </w14:solidFill>
          </w14:textFill>
        </w:rPr>
      </w:pPr>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rPr>
                <w:rFonts w:ascii="Arial" w:hAnsi="Arial" w:cs="Arial"/>
              </w:rPr>
            </w:pPr>
            <w:r>
              <w:rPr>
                <w:rFonts w:ascii="Arial" w:hAnsi="Arial" w:cs="Arial"/>
              </w:rPr>
              <w:t>Student will be able to learn regarding different application of clinical Data management, startup phase and process of data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r>
              <w:rPr>
                <w:rFonts w:ascii="Arial" w:hAnsi="Arial" w:cs="Arial"/>
              </w:rPr>
              <w:t>Student will be able to learn and create</w:t>
            </w:r>
          </w:p>
          <w:p>
            <w:pPr>
              <w:rPr>
                <w:rFonts w:ascii="Arial" w:hAnsi="Arial" w:cs="Arial"/>
                <w:b/>
              </w:rPr>
            </w:pPr>
            <w:r>
              <w:rPr>
                <w:rFonts w:ascii="Arial" w:hAnsi="Arial" w:cs="Arial"/>
              </w:rPr>
              <w:t>Different CRF designing and application could be done in different phases of trial.</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understand importance of data and application finally in drug research </w:t>
            </w:r>
          </w:p>
          <w:p>
            <w:pPr>
              <w:keepLines/>
              <w:rPr>
                <w:rFonts w:ascii="Arial" w:hAnsi="Arial" w:cs="Arial"/>
              </w:rPr>
            </w:pPr>
            <w:r>
              <w:rPr>
                <w:rFonts w:ascii="Arial" w:hAnsi="Arial" w:cs="Arial"/>
              </w:rPr>
              <w:t>In the Pharmaceutical industry.</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733425"/>
                <wp:effectExtent l="5080" t="4445" r="22860" b="5080"/>
                <wp:wrapNone/>
                <wp:docPr id="1" name="Text Box 2"/>
                <wp:cNvGraphicFramePr/>
                <a:graphic xmlns:a="http://schemas.openxmlformats.org/drawingml/2006/main">
                  <a:graphicData uri="http://schemas.microsoft.com/office/word/2010/wordprocessingShape">
                    <wps:wsp>
                      <wps:cNvSpPr txBox="1"/>
                      <wps:spPr>
                        <a:xfrm>
                          <a:off x="0" y="0"/>
                          <a:ext cx="6487160" cy="7334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wps:txbx>
                      <wps:bodyPr upright="1"/>
                    </wps:wsp>
                  </a:graphicData>
                </a:graphic>
              </wp:anchor>
            </w:drawing>
          </mc:Choice>
          <mc:Fallback>
            <w:pict>
              <v:shape id="Text Box 2" o:spid="_x0000_s1026" o:spt="202" type="#_x0000_t202" style="position:absolute;left:0pt;margin-left:0.3pt;margin-top:11.2pt;height:57.75pt;width:510.8pt;z-index:251659264;mso-width-relative:page;mso-height-relative:page;" fillcolor="#FFFFFF" filled="t" stroked="t" coordsize="21600,21600" o:gfxdata="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mkZDX9UAAAAIAQAADwAAAAAAAAABACAAAAA4AAAAZHJzL2Rvd25yZXYueG1sUEsBAhQA&#10;FAAAAAgAh07iQMvGojTfAQAA5wMAAA4AAAAAAAAAAQAgAAAAOgEAAGRycy9lMm9Eb2MueG1sUEsF&#10;BgAAAAAGAAYAWQEAAIsFA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rPr>
          <w:rFonts w:ascii="Arial" w:hAnsi="Arial" w:cs="Arial"/>
          <w:sz w:val="24"/>
          <w:szCs w:val="24"/>
        </w:rPr>
      </w:pPr>
    </w:p>
    <w:p>
      <w:pPr>
        <w:rPr>
          <w:rFonts w:ascii="Arial" w:hAnsi="Arial" w:cs="Arial"/>
          <w:sz w:val="24"/>
          <w:szCs w:val="24"/>
        </w:rPr>
      </w:pPr>
    </w:p>
    <w:p>
      <w:pPr>
        <w:pStyle w:val="22"/>
        <w:numPr>
          <w:ilvl w:val="0"/>
          <w:numId w:val="3"/>
        </w:numPr>
        <w:spacing w:after="0" w:line="240" w:lineRule="auto"/>
        <w:ind w:left="360"/>
        <w:rPr>
          <w:rFonts w:ascii="Times New Roman" w:hAnsi="Times New Roman"/>
          <w:sz w:val="21"/>
          <w:szCs w:val="21"/>
        </w:rPr>
      </w:pPr>
      <w:r>
        <w:rPr>
          <w:rFonts w:ascii="Times New Roman" w:hAnsi="Times New Roman"/>
          <w:sz w:val="21"/>
          <w:szCs w:val="21"/>
        </w:rPr>
        <w:t xml:space="preserve">Fundamentals of Database Systems. By Ramez Elmasri, Shamkant B. Navathe, T. Benjamin. 2nd edition, 2002. </w:t>
      </w:r>
    </w:p>
    <w:p>
      <w:pPr>
        <w:pStyle w:val="22"/>
        <w:numPr>
          <w:ilvl w:val="0"/>
          <w:numId w:val="3"/>
        </w:numPr>
        <w:spacing w:after="0" w:line="240" w:lineRule="auto"/>
        <w:ind w:left="360"/>
        <w:rPr>
          <w:rFonts w:ascii="Times New Roman" w:hAnsi="Times New Roman"/>
          <w:sz w:val="21"/>
          <w:szCs w:val="21"/>
        </w:rPr>
      </w:pPr>
      <w:r>
        <w:rPr>
          <w:rFonts w:ascii="Times New Roman" w:hAnsi="Times New Roman"/>
          <w:sz w:val="21"/>
          <w:szCs w:val="21"/>
        </w:rPr>
        <w:t xml:space="preserve">Database System Concepts By Henry F. Korth, Abrabam Silberchatz, Mc Graw Hill. 4th edition, 2002.  </w:t>
      </w:r>
    </w:p>
    <w:p>
      <w:pPr>
        <w:spacing w:after="0"/>
        <w:rPr>
          <w:rFonts w:ascii="Times New Roman" w:hAnsi="Times New Roman"/>
          <w:sz w:val="21"/>
          <w:szCs w:val="21"/>
        </w:rPr>
      </w:pPr>
      <w:r>
        <w:rPr>
          <w:rFonts w:ascii="Times New Roman" w:hAnsi="Times New Roman"/>
          <w:sz w:val="21"/>
          <w:szCs w:val="21"/>
        </w:rPr>
        <w:t>An Introduction to Database Systems. By C.J. Date, Addison Wesley. 7th edition, 2003.</w:t>
      </w:r>
    </w:p>
    <w:p>
      <w:pPr>
        <w:pStyle w:val="2"/>
        <w:tabs>
          <w:tab w:val="left" w:pos="2941"/>
        </w:tabs>
        <w:rPr>
          <w:rFonts w:ascii="Arial" w:hAnsi="Arial" w:cs="Arial"/>
          <w:sz w:val="24"/>
          <w:szCs w:val="24"/>
          <w:lang w:val="en-AU"/>
        </w:rPr>
      </w:pPr>
      <w:bookmarkStart w:id="0" w:name="_GoBack"/>
      <w:bookmarkEnd w:id="0"/>
      <w:r>
        <w:rPr>
          <w:rFonts w:ascii="Arial" w:hAnsi="Arial" w:cs="Arial"/>
          <w:sz w:val="24"/>
          <w:szCs w:val="24"/>
          <w:lang w:val="en-AU"/>
        </w:rPr>
        <w:t>Text books</w:t>
      </w:r>
    </w:p>
    <w:p>
      <w:pPr>
        <w:pStyle w:val="2"/>
        <w:tabs>
          <w:tab w:val="left" w:pos="2941"/>
        </w:tabs>
        <w:rPr>
          <w:rFonts w:ascii="Arial" w:hAnsi="Arial" w:cs="Arial"/>
          <w:b w:val="0"/>
          <w:bCs w:val="0"/>
          <w:color w:val="000000" w:themeColor="text1"/>
          <w:sz w:val="24"/>
          <w:szCs w:val="24"/>
          <w:lang w:val="en-AU"/>
          <w14:textFill>
            <w14:solidFill>
              <w14:schemeClr w14:val="tx1"/>
            </w14:solidFill>
          </w14:textFill>
        </w:rPr>
      </w:pPr>
      <w:r>
        <w:rPr>
          <w:rFonts w:ascii="Times New Roman" w:hAnsi="Times New Roman"/>
          <w:b w:val="0"/>
          <w:bCs w:val="0"/>
          <w:color w:val="000000" w:themeColor="text1"/>
          <w:sz w:val="21"/>
          <w:szCs w:val="21"/>
          <w14:textFill>
            <w14:solidFill>
              <w14:schemeClr w14:val="tx1"/>
            </w14:solidFill>
          </w14:textFill>
        </w:rPr>
        <w:t>Database Management and Design. By Gary W. Hansen, James V. Hansen, Prentice Hall, 2nd edition</w:t>
      </w:r>
      <w:r>
        <w:rPr>
          <w:rFonts w:ascii="Arial" w:hAnsi="Arial" w:cs="Arial"/>
          <w:b w:val="0"/>
          <w:bCs w:val="0"/>
          <w:color w:val="000000" w:themeColor="text1"/>
          <w:sz w:val="24"/>
          <w:szCs w:val="24"/>
          <w:lang w:val="en-AU"/>
          <w14:textFill>
            <w14:solidFill>
              <w14:schemeClr w14:val="tx1"/>
            </w14:solidFill>
          </w14:textFill>
        </w:rPr>
        <w:tab/>
      </w:r>
    </w:p>
    <w:p>
      <w:pPr>
        <w:jc w:val="both"/>
        <w:rPr>
          <w:rFonts w:ascii="Arial" w:hAnsi="Arial" w:cs="Arial"/>
          <w:b w:val="0"/>
          <w:bCs w:val="0"/>
          <w:lang w:val="en-AU"/>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963"/>
        <w:gridCol w:w="1021"/>
        <w:gridCol w:w="881"/>
        <w:gridCol w:w="1372"/>
        <w:gridCol w:w="1372"/>
        <w:gridCol w:w="1260"/>
        <w:gridCol w:w="1260"/>
        <w:gridCol w:w="32"/>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jc w:val="center"/>
              <w:rPr>
                <w:rFonts w:ascii="Times New Roman" w:hAnsi="Times New Roman"/>
                <w:b/>
                <w:color w:val="000000"/>
                <w:sz w:val="21"/>
                <w:szCs w:val="21"/>
                <w:lang w:eastAsia="en-US"/>
              </w:rPr>
            </w:pPr>
            <w:r>
              <w:rPr>
                <w:rFonts w:ascii="Times New Roman" w:hAnsi="Times New Roman"/>
                <w:b/>
                <w:color w:val="000000"/>
                <w:sz w:val="21"/>
                <w:szCs w:val="21"/>
                <w:lang w:eastAsia="en-US"/>
              </w:rPr>
              <w:t xml:space="preserve">Subject : </w:t>
            </w:r>
            <w:r>
              <w:rPr>
                <w:rFonts w:ascii="Times New Roman" w:hAnsi="Times New Roman" w:eastAsia="Times New Roman"/>
                <w:b/>
                <w:color w:val="000000"/>
                <w:sz w:val="21"/>
                <w:szCs w:val="21"/>
              </w:rPr>
              <w:t>Clinical Data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3"/>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Program : B.Sc-Clinical Research and Healthcare Management</w:t>
            </w:r>
          </w:p>
        </w:tc>
        <w:tc>
          <w:tcPr>
            <w:tcW w:w="3625" w:type="dxa"/>
            <w:gridSpan w:val="3"/>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Subject Code : UCR0502</w:t>
            </w:r>
          </w:p>
        </w:tc>
        <w:tc>
          <w:tcPr>
            <w:tcW w:w="3187" w:type="dxa"/>
            <w:gridSpan w:val="4"/>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Semester :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rPr>
                <w:rFonts w:ascii="Times New Roman" w:hAnsi="Times New Roman"/>
                <w:b/>
                <w:color w:val="000000"/>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28" w:type="dxa"/>
            <w:gridSpan w:val="3"/>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Teaching Scheme</w:t>
            </w:r>
          </w:p>
        </w:tc>
        <w:tc>
          <w:tcPr>
            <w:tcW w:w="6177" w:type="dxa"/>
            <w:gridSpan w:val="6"/>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Examination Evaluation Scheme</w:t>
            </w:r>
          </w:p>
        </w:tc>
        <w:tc>
          <w:tcPr>
            <w:tcW w:w="635" w:type="dxa"/>
            <w:noWrap w:val="0"/>
            <w:vAlign w:val="top"/>
          </w:tcPr>
          <w:p>
            <w:pPr>
              <w:pStyle w:val="28"/>
              <w:spacing w:line="259" w:lineRule="auto"/>
              <w:rPr>
                <w:rFonts w:ascii="Times New Roman" w:hAnsi="Times New Roman"/>
                <w:b/>
                <w:color w:val="000000"/>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noWrap w:val="0"/>
            <w:vAlign w:val="top"/>
          </w:tcPr>
          <w:p>
            <w:pPr>
              <w:pStyle w:val="28"/>
              <w:spacing w:line="259" w:lineRule="auto"/>
              <w:ind w:right="-115"/>
              <w:rPr>
                <w:rFonts w:ascii="Times New Roman" w:hAnsi="Times New Roman"/>
                <w:b/>
                <w:color w:val="000000"/>
                <w:sz w:val="21"/>
                <w:szCs w:val="21"/>
                <w:lang w:eastAsia="en-US"/>
              </w:rPr>
            </w:pPr>
            <w:r>
              <w:rPr>
                <w:rFonts w:ascii="Times New Roman" w:hAnsi="Times New Roman"/>
                <w:b/>
                <w:color w:val="000000"/>
                <w:sz w:val="21"/>
                <w:szCs w:val="21"/>
                <w:lang w:eastAsia="en-US"/>
              </w:rPr>
              <w:t>Lecture</w:t>
            </w:r>
          </w:p>
        </w:tc>
        <w:tc>
          <w:tcPr>
            <w:tcW w:w="963" w:type="dxa"/>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Tutorial</w:t>
            </w:r>
          </w:p>
        </w:tc>
        <w:tc>
          <w:tcPr>
            <w:tcW w:w="1021" w:type="dxa"/>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Practical</w:t>
            </w:r>
          </w:p>
        </w:tc>
        <w:tc>
          <w:tcPr>
            <w:tcW w:w="881" w:type="dxa"/>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Credits</w:t>
            </w:r>
          </w:p>
        </w:tc>
        <w:tc>
          <w:tcPr>
            <w:tcW w:w="1372" w:type="dxa"/>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University Theory Examination</w:t>
            </w:r>
          </w:p>
        </w:tc>
        <w:tc>
          <w:tcPr>
            <w:tcW w:w="1372" w:type="dxa"/>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University Practical Examination</w:t>
            </w:r>
          </w:p>
        </w:tc>
        <w:tc>
          <w:tcPr>
            <w:tcW w:w="1260" w:type="dxa"/>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Continuous Internal Evaluation (CIE)- Theory</w:t>
            </w:r>
          </w:p>
        </w:tc>
        <w:tc>
          <w:tcPr>
            <w:tcW w:w="1260" w:type="dxa"/>
            <w:noWrap w:val="0"/>
            <w:vAlign w:val="top"/>
          </w:tcPr>
          <w:p>
            <w:pPr>
              <w:pStyle w:val="28"/>
              <w:spacing w:line="259" w:lineRule="auto"/>
              <w:rPr>
                <w:rFonts w:ascii="Times New Roman" w:hAnsi="Times New Roman"/>
                <w:b/>
                <w:color w:val="000000"/>
                <w:sz w:val="21"/>
                <w:szCs w:val="21"/>
                <w:lang w:eastAsia="en-US"/>
              </w:rPr>
            </w:pPr>
            <w:r>
              <w:rPr>
                <w:rFonts w:ascii="Times New Roman" w:hAnsi="Times New Roman"/>
                <w:b/>
                <w:color w:val="000000"/>
                <w:sz w:val="21"/>
                <w:szCs w:val="21"/>
                <w:lang w:eastAsia="en-US"/>
              </w:rPr>
              <w:t>Continuous Internal Evaluation (CIE) – Practical</w:t>
            </w:r>
          </w:p>
        </w:tc>
        <w:tc>
          <w:tcPr>
            <w:tcW w:w="667" w:type="dxa"/>
            <w:gridSpan w:val="2"/>
            <w:noWrap w:val="0"/>
            <w:vAlign w:val="top"/>
          </w:tcPr>
          <w:p>
            <w:pPr>
              <w:pStyle w:val="28"/>
              <w:spacing w:line="259" w:lineRule="auto"/>
              <w:ind w:left="-150" w:right="-108"/>
              <w:jc w:val="center"/>
              <w:rPr>
                <w:rFonts w:ascii="Times New Roman" w:hAnsi="Times New Roman"/>
                <w:b/>
                <w:color w:val="000000"/>
                <w:sz w:val="21"/>
                <w:szCs w:val="21"/>
                <w:lang w:eastAsia="en-US"/>
              </w:rPr>
            </w:pPr>
            <w:r>
              <w:rPr>
                <w:rFonts w:ascii="Times New Roman" w:hAnsi="Times New Roman"/>
                <w:b/>
                <w:color w:val="000000"/>
                <w:sz w:val="21"/>
                <w:szCs w:val="21"/>
                <w:lang w:eastAsia="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3</w:t>
            </w:r>
          </w:p>
        </w:tc>
        <w:tc>
          <w:tcPr>
            <w:tcW w:w="963"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0</w:t>
            </w:r>
          </w:p>
        </w:tc>
        <w:tc>
          <w:tcPr>
            <w:tcW w:w="1021"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0</w:t>
            </w:r>
          </w:p>
        </w:tc>
        <w:tc>
          <w:tcPr>
            <w:tcW w:w="881"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3</w:t>
            </w:r>
          </w:p>
        </w:tc>
        <w:tc>
          <w:tcPr>
            <w:tcW w:w="1372"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40</w:t>
            </w:r>
          </w:p>
        </w:tc>
        <w:tc>
          <w:tcPr>
            <w:tcW w:w="1372" w:type="dxa"/>
            <w:noWrap w:val="0"/>
            <w:vAlign w:val="top"/>
          </w:tcPr>
          <w:p>
            <w:pPr>
              <w:pStyle w:val="28"/>
              <w:spacing w:line="259" w:lineRule="auto"/>
              <w:rPr>
                <w:rFonts w:ascii="Times New Roman" w:hAnsi="Times New Roman"/>
                <w:caps/>
                <w:sz w:val="21"/>
                <w:szCs w:val="21"/>
                <w:lang w:val="en-GB"/>
              </w:rPr>
            </w:pPr>
          </w:p>
        </w:tc>
        <w:tc>
          <w:tcPr>
            <w:tcW w:w="1260"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60</w:t>
            </w:r>
          </w:p>
        </w:tc>
        <w:tc>
          <w:tcPr>
            <w:tcW w:w="1260" w:type="dxa"/>
            <w:noWrap w:val="0"/>
            <w:vAlign w:val="top"/>
          </w:tcPr>
          <w:p>
            <w:pPr>
              <w:pStyle w:val="28"/>
              <w:spacing w:line="259" w:lineRule="auto"/>
              <w:rPr>
                <w:rFonts w:ascii="Times New Roman" w:hAnsi="Times New Roman"/>
                <w:caps/>
                <w:sz w:val="21"/>
                <w:szCs w:val="21"/>
                <w:lang w:val="en-GB"/>
              </w:rPr>
            </w:pPr>
          </w:p>
        </w:tc>
        <w:tc>
          <w:tcPr>
            <w:tcW w:w="667" w:type="dxa"/>
            <w:gridSpan w:val="2"/>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100</w:t>
            </w:r>
          </w:p>
        </w:tc>
      </w:tr>
    </w:tbl>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color w:val="000000"/>
                <w:sz w:val="22"/>
                <w:szCs w:val="22"/>
              </w:rPr>
              <w:t>Introduction to CDM,  Basic terminologies</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jc w:val="both"/>
              <w:rPr>
                <w:rFonts w:ascii="Arial" w:hAnsi="Arial" w:cs="Arial"/>
              </w:rPr>
            </w:pPr>
            <w:r>
              <w:rPr>
                <w:color w:val="000000"/>
                <w:sz w:val="22"/>
                <w:szCs w:val="22"/>
              </w:rPr>
              <w:t>definitions and Glossary, Importance of CDM</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i/>
              </w:rPr>
            </w:pPr>
            <w:r>
              <w:rPr>
                <w:color w:val="000000"/>
                <w:sz w:val="22"/>
                <w:szCs w:val="22"/>
              </w:rPr>
              <w:t>Data privacy, Data Management standards in clinical research</w:t>
            </w: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color w:val="000000"/>
                <w:sz w:val="22"/>
                <w:szCs w:val="22"/>
              </w:rPr>
              <w:t>Design and development of data collection instruments</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autoSpaceDE w:val="0"/>
              <w:autoSpaceDN w:val="0"/>
              <w:adjustRightInd w:val="0"/>
              <w:jc w:val="both"/>
              <w:rPr>
                <w:color w:val="000000"/>
                <w:sz w:val="22"/>
                <w:szCs w:val="22"/>
              </w:rPr>
            </w:pPr>
            <w:r>
              <w:rPr>
                <w:color w:val="000000"/>
                <w:sz w:val="22"/>
                <w:szCs w:val="22"/>
              </w:rPr>
              <w:t>Electronic data capture.</w:t>
            </w:r>
          </w:p>
          <w:p>
            <w:pPr>
              <w:rPr>
                <w:rFonts w:ascii="Arial" w:hAnsi="Arial" w:cs="Arial"/>
              </w:rPr>
            </w:pP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jc w:val="both"/>
              <w:rPr>
                <w:rFonts w:ascii="Arial" w:hAnsi="Arial" w:cs="Arial"/>
                <w:i/>
              </w:rPr>
            </w:pPr>
            <w:r>
              <w:rPr>
                <w:color w:val="000000"/>
                <w:sz w:val="22"/>
                <w:szCs w:val="22"/>
              </w:rPr>
              <w:t>Start Up: Protocol review, CRF design, Annotation of CRF, Data base build process- eCRF validation</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Arial" w:hAnsi="Arial" w:cs="Arial"/>
              </w:rPr>
            </w:pPr>
            <w:r>
              <w:rPr>
                <w:color w:val="000000"/>
                <w:sz w:val="22"/>
                <w:szCs w:val="22"/>
              </w:rPr>
              <w:t>Home page, System Settings, Authorized User List, Report data Extract/Source Data Extract, Edit check specifications, Edit Check Validation,</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color w:val="000000"/>
                <w:sz w:val="22"/>
                <w:szCs w:val="22"/>
              </w:rPr>
              <w:t>Test case creation. Database GoLive, preparation of DMP documents.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i/>
              </w:rPr>
            </w:pPr>
            <w:r>
              <w:rPr>
                <w:color w:val="000000"/>
                <w:sz w:val="22"/>
                <w:szCs w:val="22"/>
              </w:rPr>
              <w:t>Conduct: Dataset Validation process, Manual query writing</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color w:val="000000"/>
                <w:sz w:val="22"/>
                <w:szCs w:val="22"/>
              </w:rPr>
              <w:t>Discrepancy management, Lab data reconciliation, SAE reconciliation, Non-eCRF validation process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autoSpaceDE w:val="0"/>
              <w:autoSpaceDN w:val="0"/>
              <w:adjustRightInd w:val="0"/>
              <w:jc w:val="both"/>
              <w:rPr>
                <w:color w:val="000000"/>
                <w:sz w:val="22"/>
                <w:szCs w:val="22"/>
              </w:rPr>
            </w:pPr>
            <w:r>
              <w:rPr>
                <w:color w:val="000000"/>
                <w:sz w:val="22"/>
                <w:szCs w:val="22"/>
              </w:rPr>
              <w:t>Close-out: Close out Checklist, Burning of trial data, Archiving process.</w:t>
            </w:r>
          </w:p>
          <w:p>
            <w:pPr>
              <w:jc w:val="both"/>
              <w:rPr>
                <w:rFonts w:ascii="Arial" w:hAnsi="Arial" w:cs="Arial"/>
                <w:color w:val="0000CC"/>
              </w:rPr>
            </w:pP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ascii="Arial" w:hAnsi="Arial" w:cs="Arial"/>
              </w:rPr>
            </w:pPr>
            <w:r>
              <w:rPr>
                <w:rFonts w:ascii="Arial" w:hAnsi="Arial" w:cs="Arial"/>
              </w:rPr>
              <w:t>Week 12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pStyle w:val="3"/>
              <w:shd w:val="clear" w:color="auto" w:fill="FFFFFF"/>
              <w:ind w:left="0"/>
              <w:outlineLvl w:val="2"/>
              <w:rPr>
                <w:rFonts w:ascii="Times New Roman" w:hAnsi="Times New Roman"/>
                <w:b w:val="0"/>
                <w:sz w:val="22"/>
                <w:szCs w:val="22"/>
              </w:rPr>
            </w:pPr>
            <w:r>
              <w:rPr>
                <w:rFonts w:ascii="Times New Roman" w:hAnsi="Times New Roman"/>
                <w:b w:val="0"/>
                <w:sz w:val="22"/>
                <w:szCs w:val="22"/>
              </w:rPr>
              <w:t>Training, assurance data quality,  measuring data quality, DMP,</w:t>
            </w:r>
          </w:p>
          <w:p>
            <w:r>
              <w:rPr>
                <w:color w:val="000000"/>
                <w:sz w:val="22"/>
                <w:szCs w:val="22"/>
              </w:rPr>
              <w:t>Designing CRF, eCRF Completion Guidelines, SAE Reconciliation, Lab Reconciliation, Query Management, Edit Check Specification Logic,</w:t>
            </w:r>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pPr>
    </w:p>
    <w:p>
      <w:pPr>
        <w:jc w:val="both"/>
        <w:rPr>
          <w:lang w:val="en-AU"/>
        </w:rPr>
      </w:pPr>
    </w:p>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00"/>
    <w:family w:val="roman"/>
    <w:pitch w:val="default"/>
    <w:sig w:usb0="00000000" w:usb1="00000000" w:usb2="00000000" w:usb3="00000000" w:csb0="00000001"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7F5"/>
    <w:multiLevelType w:val="multilevel"/>
    <w:tmpl w:val="01DD17F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FAE032A"/>
    <w:multiLevelType w:val="multilevel"/>
    <w:tmpl w:val="4FAE03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8045C"/>
    <w:rsid w:val="00093EBD"/>
    <w:rsid w:val="000A215A"/>
    <w:rsid w:val="000A21EE"/>
    <w:rsid w:val="000A4FC7"/>
    <w:rsid w:val="000B73BC"/>
    <w:rsid w:val="000C1C70"/>
    <w:rsid w:val="000C2456"/>
    <w:rsid w:val="000D3145"/>
    <w:rsid w:val="000E2A07"/>
    <w:rsid w:val="000E5383"/>
    <w:rsid w:val="000E61B5"/>
    <w:rsid w:val="000F07E9"/>
    <w:rsid w:val="000F0B18"/>
    <w:rsid w:val="000F0B40"/>
    <w:rsid w:val="000F439A"/>
    <w:rsid w:val="00101CD9"/>
    <w:rsid w:val="001027D6"/>
    <w:rsid w:val="0010384E"/>
    <w:rsid w:val="00107DB3"/>
    <w:rsid w:val="001113E5"/>
    <w:rsid w:val="001162A0"/>
    <w:rsid w:val="00116B70"/>
    <w:rsid w:val="001200C6"/>
    <w:rsid w:val="0012243A"/>
    <w:rsid w:val="001257C5"/>
    <w:rsid w:val="001259FB"/>
    <w:rsid w:val="00127643"/>
    <w:rsid w:val="00130EEC"/>
    <w:rsid w:val="001334BA"/>
    <w:rsid w:val="00134B5D"/>
    <w:rsid w:val="001427D9"/>
    <w:rsid w:val="00144ABD"/>
    <w:rsid w:val="00145370"/>
    <w:rsid w:val="00145CCC"/>
    <w:rsid w:val="00146923"/>
    <w:rsid w:val="00151B30"/>
    <w:rsid w:val="00151CAE"/>
    <w:rsid w:val="001536E7"/>
    <w:rsid w:val="00163D1E"/>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0D60"/>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57DCE"/>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82D20"/>
    <w:rsid w:val="00983DDD"/>
    <w:rsid w:val="009858B7"/>
    <w:rsid w:val="00986382"/>
    <w:rsid w:val="00987A4A"/>
    <w:rsid w:val="009906B2"/>
    <w:rsid w:val="00991B60"/>
    <w:rsid w:val="00995974"/>
    <w:rsid w:val="009979A8"/>
    <w:rsid w:val="009A0048"/>
    <w:rsid w:val="009A20F7"/>
    <w:rsid w:val="009A34E3"/>
    <w:rsid w:val="009A3EC2"/>
    <w:rsid w:val="009B1F48"/>
    <w:rsid w:val="009B2A34"/>
    <w:rsid w:val="009B3BB8"/>
    <w:rsid w:val="009B3EB4"/>
    <w:rsid w:val="009C0916"/>
    <w:rsid w:val="009C2777"/>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3D35"/>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3C48"/>
    <w:rsid w:val="00BF4332"/>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0D7CA550"/>
    <w:rsid w:val="5BEF51BF"/>
    <w:rsid w:val="699F8F50"/>
    <w:rsid w:val="7B56344A"/>
    <w:rsid w:val="7BFC4C4B"/>
    <w:rsid w:val="C3FF36D5"/>
    <w:rsid w:val="EFF171E8"/>
    <w:rsid w:val="F7F71879"/>
    <w:rsid w:val="FDBBF345"/>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1583</Words>
  <Characters>9028</Characters>
  <Lines>75</Lines>
  <Paragraphs>21</Paragraphs>
  <TotalTime>1</TotalTime>
  <ScaleCrop>false</ScaleCrop>
  <LinksUpToDate>false</LinksUpToDate>
  <CharactersWithSpaces>10590</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2020-06-16T22:51:00Z</dcterms:created>
  <dc:creator>Sandeep Chakravorty</dc:creator>
  <cp:lastModifiedBy>faculty</cp:lastModifiedBy>
  <cp:lastPrinted>2018-07-10T05:01:00Z</cp:lastPrinted>
  <dcterms:modified xsi:type="dcterms:W3CDTF">2020-06-19T12:29:33Z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