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hint="default" w:cs="Arial"/>
          <w:color w:val="000000" w:themeColor="text1"/>
          <w:szCs w:val="24"/>
          <w:lang w:val="en"/>
          <w14:textFill>
            <w14:solidFill>
              <w14:schemeClr w14:val="tx1"/>
            </w14:solidFill>
          </w14:textFill>
        </w:rPr>
      </w:pPr>
      <w:r>
        <w:rPr>
          <w:rFonts w:cs="Arial"/>
          <w:color w:val="000000" w:themeColor="text1"/>
          <w:szCs w:val="24"/>
          <w14:textFill>
            <w14:solidFill>
              <w14:schemeClr w14:val="tx1"/>
            </w14:solidFill>
          </w14:textFill>
        </w:rPr>
        <w:t xml:space="preserve">Name of Faculty: Dr. </w:t>
      </w:r>
      <w:r>
        <w:rPr>
          <w:rFonts w:hint="default" w:cs="Arial"/>
          <w:color w:val="000000" w:themeColor="text1"/>
          <w:szCs w:val="24"/>
          <w:lang w:val="en"/>
          <w14:textFill>
            <w14:solidFill>
              <w14:schemeClr w14:val="tx1"/>
            </w14:solidFill>
          </w14:textFill>
        </w:rPr>
        <w:t>Mayur Savaliya</w:t>
      </w:r>
    </w:p>
    <w:p/>
    <w:p>
      <w:pPr>
        <w:autoSpaceDE w:val="0"/>
        <w:autoSpaceDN w:val="0"/>
        <w:adjustRightInd w:val="0"/>
        <w:spacing w:after="120" w:line="240" w:lineRule="auto"/>
        <w:rPr>
          <w:rFonts w:ascii="Times New Roman" w:hAnsi="Times New Roman" w:eastAsia="Times New Roman"/>
          <w:b/>
          <w:color w:val="000000"/>
          <w:sz w:val="21"/>
          <w:szCs w:val="21"/>
        </w:rPr>
      </w:pPr>
      <w:r>
        <w:rPr>
          <w:rFonts w:ascii="Times New Roman" w:hAnsi="Times New Roman" w:eastAsia="Times New Roman"/>
          <w:b/>
          <w:color w:val="000000"/>
          <w:sz w:val="21"/>
          <w:szCs w:val="21"/>
        </w:rPr>
        <w:t>Pre-Clinical Studies</w:t>
      </w:r>
    </w:p>
    <w:p>
      <w:pPr>
        <w:autoSpaceDE w:val="0"/>
        <w:autoSpaceDN w:val="0"/>
        <w:adjustRightInd w:val="0"/>
        <w:spacing w:after="120" w:line="240" w:lineRule="auto"/>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w:t>
      </w:r>
      <w:r>
        <w:rPr>
          <w:rFonts w:ascii="Times New Roman" w:hAnsi="Times New Roman"/>
          <w:b/>
          <w:color w:val="000000"/>
          <w:sz w:val="21"/>
          <w:szCs w:val="21"/>
          <w:lang w:eastAsia="en-US"/>
        </w:rPr>
        <w:t>UCR0304</w:t>
      </w:r>
    </w:p>
    <w:p>
      <w:pPr>
        <w:rPr>
          <w:rFonts w:ascii="Arial" w:hAnsi="Arial" w:cs="Arial"/>
          <w:b w:val="0"/>
          <w:bCs/>
          <w:color w:val="0033CC"/>
          <w:lang w:val="en-AU"/>
        </w:rPr>
      </w:pPr>
      <w:r>
        <w:rPr>
          <w:rFonts w:ascii="Arial" w:hAnsi="Arial" w:cs="Arial"/>
          <w:color w:val="0033CC"/>
          <w:lang w:val="en-AU"/>
        </w:rPr>
        <w:t>Course name:</w:t>
      </w:r>
      <w:r>
        <w:rPr>
          <w:b/>
          <w:color w:val="000000"/>
          <w:sz w:val="20"/>
          <w:szCs w:val="20"/>
          <w:lang w:eastAsia="en-IN"/>
        </w:rPr>
        <w:t xml:space="preserve"> </w:t>
      </w:r>
      <w:r>
        <w:rPr>
          <w:b w:val="0"/>
          <w:bCs/>
          <w:color w:val="000000"/>
          <w:sz w:val="20"/>
          <w:szCs w:val="20"/>
          <w:lang w:eastAsia="en-IN"/>
        </w:rPr>
        <w:t>B.SC CLINICAL RESEARCH AND HEALTHCARE MANAGEMENT</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 xml:space="preserve">Credit points: </w:t>
      </w:r>
      <w:r>
        <w:rPr>
          <w:rFonts w:hint="default" w:ascii="Arial" w:hAnsi="Arial" w:cs="Arial"/>
          <w:lang w:val="en"/>
        </w:rPr>
        <w:t>3</w:t>
      </w:r>
      <w:r>
        <w:rPr>
          <w:rFonts w:ascii="Arial" w:hAnsi="Arial" w:cs="Arial"/>
          <w:lang w:val="en-AU"/>
        </w:rPr>
        <w:t xml:space="preserve">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hint="default" w:ascii="Arial" w:hAnsi="Arial" w:cs="Arial"/>
          <w:lang w:val="en"/>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 xml:space="preserve">floor Bhawar building, </w:t>
      </w:r>
      <w:r>
        <w:rPr>
          <w:rFonts w:hint="default" w:ascii="Arial" w:hAnsi="Arial" w:cs="Arial"/>
          <w:lang w:val="en"/>
        </w:rPr>
        <w:t>Staff Room</w:t>
      </w:r>
    </w:p>
    <w:p>
      <w:pPr>
        <w:tabs>
          <w:tab w:val="right" w:pos="9600"/>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pStyle w:val="3"/>
        <w:shd w:val="clear" w:color="auto" w:fill="FFFFFF"/>
        <w:spacing w:line="300" w:lineRule="atLeast"/>
        <w:ind w:left="0"/>
        <w:rPr>
          <w:rFonts w:hint="default" w:cs="Arial"/>
          <w:b w:val="0"/>
          <w:color w:val="5F6368"/>
          <w:spacing w:val="5"/>
          <w:szCs w:val="24"/>
          <w:lang w:val="en"/>
        </w:rPr>
      </w:pPr>
      <w:r>
        <w:rPr>
          <w:rFonts w:cs="Arial"/>
          <w:b w:val="0"/>
          <w:szCs w:val="24"/>
          <w:lang w:val="en-AU"/>
        </w:rPr>
        <w:t>Email:</w:t>
      </w:r>
      <w:r>
        <w:rPr>
          <w:rStyle w:val="16"/>
          <w:rFonts w:hint="default" w:cs="Arial"/>
          <w:b w:val="0"/>
          <w:color w:val="555555"/>
          <w:spacing w:val="5"/>
          <w:szCs w:val="24"/>
          <w:u w:val="none"/>
          <w:lang w:val="en"/>
        </w:rPr>
        <w:t>mayursavaliya.cr@indusuni.ac.in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hint="default" w:ascii="Arial" w:hAnsi="Arial" w:cs="Arial"/>
          <w:lang w:val="en"/>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w:t>
      </w:r>
      <w:r>
        <w:rPr>
          <w:rFonts w:hint="default" w:ascii="Arial" w:hAnsi="Arial" w:cs="Arial"/>
          <w:lang w:val="en"/>
        </w:rPr>
        <w:t>, Staff Room</w:t>
      </w:r>
    </w:p>
    <w:p>
      <w:pPr>
        <w:tabs>
          <w:tab w:val="right" w:pos="9498"/>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rPr>
          <w:rFonts w:ascii="Arial" w:hAnsi="Arial" w:cs="Arial"/>
        </w:rPr>
      </w:pPr>
      <w:r>
        <w:rPr>
          <w:rFonts w:ascii="Arial" w:hAnsi="Arial" w:cs="Arial"/>
          <w:lang w:val="en-AU"/>
        </w:rPr>
        <w:t>Email:</w:t>
      </w:r>
      <w:r>
        <w:rPr>
          <w:rStyle w:val="16"/>
          <w:rFonts w:hint="default" w:cs="Arial"/>
          <w:b w:val="0"/>
          <w:color w:val="555555"/>
          <w:spacing w:val="5"/>
          <w:szCs w:val="24"/>
          <w:u w:val="none"/>
          <w:lang w:val="en"/>
        </w:rPr>
        <w:t>mayursavaliya.cr@indusuni.ac.in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ind w:left="567" w:hanging="567"/>
        <w:jc w:val="both"/>
        <w:rPr>
          <w:rFonts w:ascii="Arial" w:hAnsi="Arial" w:cs="Arial"/>
          <w:lang w:val="en-AU"/>
        </w:rPr>
      </w:pPr>
    </w:p>
    <w:p>
      <w:pPr>
        <w:autoSpaceDE w:val="0"/>
        <w:autoSpaceDN w:val="0"/>
        <w:adjustRightInd w:val="0"/>
        <w:spacing w:after="120" w:line="240" w:lineRule="auto"/>
        <w:rPr>
          <w:rFonts w:ascii="Times New Roman" w:hAnsi="Times New Roman"/>
          <w:sz w:val="21"/>
          <w:szCs w:val="21"/>
        </w:rPr>
      </w:pPr>
      <w:r>
        <w:rPr>
          <w:rFonts w:ascii="Times New Roman" w:hAnsi="Times New Roman"/>
          <w:sz w:val="21"/>
          <w:szCs w:val="21"/>
        </w:rPr>
        <w:t xml:space="preserve">To learn </w:t>
      </w:r>
      <w:r>
        <w:rPr>
          <w:rFonts w:hint="default"/>
          <w:sz w:val="21"/>
          <w:szCs w:val="21"/>
          <w:lang w:val="en"/>
        </w:rPr>
        <w:t>preclinical studies</w:t>
      </w:r>
      <w:r>
        <w:rPr>
          <w:rFonts w:ascii="Times New Roman" w:hAnsi="Times New Roman"/>
          <w:sz w:val="21"/>
          <w:szCs w:val="21"/>
        </w:rPr>
        <w:t xml:space="preserve"> in order to achieve completion within timelines.</w:t>
      </w:r>
    </w:p>
    <w:p>
      <w:pPr>
        <w:rPr>
          <w:rFonts w:ascii="Arial" w:hAnsi="Arial" w:cs="Arial"/>
        </w:rPr>
      </w:pPr>
    </w:p>
    <w:p>
      <w:pPr>
        <w:rPr>
          <w:rFonts w:ascii="Arial" w:hAnsi="Arial" w:cs="Arial"/>
        </w:rPr>
      </w:pPr>
      <w:r>
        <w:rPr>
          <w:rFonts w:ascii="Arial" w:hAnsi="Arial" w:cs="Arial"/>
        </w:rPr>
        <w:t>Course Outcomes (CO)</w:t>
      </w:r>
    </w:p>
    <w:p>
      <w:pPr>
        <w:rPr>
          <w:rFonts w:ascii="Times New Roman" w:hAnsi="Times New Roman"/>
          <w:sz w:val="24"/>
          <w:szCs w:val="24"/>
        </w:rPr>
      </w:pPr>
      <w:r>
        <w:rPr>
          <w:rFonts w:ascii="Arial" w:hAnsi="Arial" w:cs="Arial"/>
        </w:rPr>
        <w:t>After successful completion of course, student will able t</w:t>
      </w:r>
      <w:r>
        <w:rPr>
          <w:rFonts w:ascii="Times New Roman" w:hAnsi="Times New Roman"/>
          <w:sz w:val="24"/>
          <w:szCs w:val="24"/>
        </w:rPr>
        <w:t xml:space="preserve">o </w:t>
      </w:r>
      <w:r>
        <w:rPr>
          <w:rFonts w:hint="default"/>
          <w:sz w:val="24"/>
          <w:szCs w:val="24"/>
          <w:lang w:val="en"/>
        </w:rPr>
        <w:t>understand the importance of preclinical studies</w:t>
      </w:r>
    </w:p>
    <w:p>
      <w:pPr>
        <w:pStyle w:val="28"/>
        <w:rPr>
          <w:sz w:val="21"/>
          <w:szCs w:val="21"/>
          <w:lang w:val="en-GB"/>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widowControl w:val="0"/>
        <w:suppressAutoHyphens/>
        <w:ind w:left="360"/>
        <w:jc w:val="both"/>
      </w:pPr>
      <w:r>
        <w:rPr>
          <w:rFonts w:ascii="Arial" w:hAnsi="Arial" w:cs="Arial"/>
        </w:rPr>
        <w:t>Course Outline</w:t>
      </w:r>
    </w:p>
    <w:p>
      <w:pPr>
        <w:rPr>
          <w:rFonts w:ascii="Arial" w:hAnsi="Arial" w:cs="Arial"/>
        </w:rPr>
      </w:pPr>
      <w:r>
        <w:rPr>
          <w:rFonts w:ascii="Arial" w:hAnsi="Arial" w:cs="Arial"/>
        </w:rPr>
        <w:t>(Key in topics to be dealt)</w:t>
      </w:r>
    </w:p>
    <w:p>
      <w:pPr>
        <w:rPr>
          <w:rFonts w:ascii="Arial" w:hAnsi="Arial" w:cs="Arial"/>
        </w:rPr>
      </w:pPr>
    </w:p>
    <w:p>
      <w:pPr>
        <w:rPr>
          <w:rFonts w:ascii="Arial" w:hAnsi="Arial" w:cs="Arial"/>
        </w:rPr>
      </w:pPr>
    </w:p>
    <w:p>
      <w:pPr>
        <w:spacing w:after="0"/>
        <w:rPr>
          <w:rFonts w:ascii="Times New Roman" w:hAnsi="Times New Roman"/>
          <w:b/>
          <w:sz w:val="21"/>
          <w:szCs w:val="21"/>
        </w:rPr>
      </w:pPr>
      <w:r>
        <w:rPr>
          <w:rFonts w:ascii="Times New Roman" w:hAnsi="Times New Roman"/>
          <w:b/>
          <w:sz w:val="21"/>
          <w:szCs w:val="21"/>
        </w:rPr>
        <w:t xml:space="preserve">UNIT – 1   INTRODUCTION TO PRE-CLINICAL STUDIES:                        </w:t>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 xml:space="preserve">       </w:t>
      </w:r>
    </w:p>
    <w:p>
      <w:pPr>
        <w:spacing w:after="0"/>
        <w:jc w:val="both"/>
        <w:rPr>
          <w:rFonts w:ascii="Times New Roman" w:hAnsi="Times New Roman"/>
          <w:sz w:val="21"/>
          <w:szCs w:val="21"/>
        </w:rPr>
      </w:pPr>
      <w:r>
        <w:rPr>
          <w:rFonts w:ascii="Times New Roman" w:hAnsi="Times New Roman"/>
          <w:sz w:val="21"/>
          <w:szCs w:val="21"/>
        </w:rPr>
        <w:t xml:space="preserve">Objectives, Importance of Pre-Clinical trials, Steps involved in Pre-clinical studies, Drug Development process, Types of Pre-Clinical Studies, Role of F&amp;D department in Pre-Clinical trial, GLP, Toxicity Studies.              </w:t>
      </w:r>
    </w:p>
    <w:p>
      <w:pPr>
        <w:spacing w:after="0"/>
        <w:rPr>
          <w:rFonts w:ascii="Times New Roman" w:hAnsi="Times New Roman"/>
          <w:sz w:val="21"/>
          <w:szCs w:val="21"/>
        </w:rPr>
      </w:pPr>
      <w:r>
        <w:rPr>
          <w:rFonts w:ascii="Times New Roman" w:hAnsi="Times New Roman"/>
          <w:sz w:val="21"/>
          <w:szCs w:val="21"/>
        </w:rPr>
        <w:t xml:space="preserve">                                          </w:t>
      </w:r>
    </w:p>
    <w:p>
      <w:pPr>
        <w:spacing w:after="0"/>
        <w:rPr>
          <w:rFonts w:ascii="Times New Roman" w:hAnsi="Times New Roman"/>
          <w:sz w:val="21"/>
          <w:szCs w:val="21"/>
        </w:rPr>
      </w:pPr>
      <w:r>
        <w:rPr>
          <w:rFonts w:ascii="Times New Roman" w:hAnsi="Times New Roman"/>
          <w:b/>
          <w:sz w:val="21"/>
          <w:szCs w:val="21"/>
        </w:rPr>
        <w:t xml:space="preserve">UNIT – 2   HIGH THROUGH PUT SCREENING (HTS)                             </w:t>
      </w: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 xml:space="preserve">      </w:t>
      </w:r>
    </w:p>
    <w:p>
      <w:pPr>
        <w:spacing w:after="0"/>
        <w:jc w:val="both"/>
        <w:rPr>
          <w:rFonts w:ascii="Times New Roman" w:hAnsi="Times New Roman"/>
          <w:sz w:val="21"/>
          <w:szCs w:val="21"/>
        </w:rPr>
      </w:pPr>
      <w:r>
        <w:rPr>
          <w:rFonts w:ascii="Times New Roman" w:hAnsi="Times New Roman"/>
          <w:sz w:val="21"/>
          <w:szCs w:val="21"/>
        </w:rPr>
        <w:t>Introduction, Advantages and Disadvantages, Uses, Methodology, Cell based Assays.</w:t>
      </w:r>
    </w:p>
    <w:p>
      <w:pPr>
        <w:spacing w:after="0"/>
        <w:jc w:val="both"/>
        <w:rPr>
          <w:rFonts w:ascii="Times New Roman" w:hAnsi="Times New Roman"/>
          <w:sz w:val="21"/>
          <w:szCs w:val="21"/>
        </w:rPr>
      </w:pPr>
    </w:p>
    <w:p>
      <w:pPr>
        <w:spacing w:after="0"/>
        <w:rPr>
          <w:rFonts w:ascii="Times New Roman" w:hAnsi="Times New Roman"/>
          <w:sz w:val="21"/>
          <w:szCs w:val="21"/>
        </w:rPr>
      </w:pPr>
      <w:r>
        <w:rPr>
          <w:rFonts w:ascii="Times New Roman" w:hAnsi="Times New Roman"/>
          <w:b/>
          <w:sz w:val="21"/>
          <w:szCs w:val="21"/>
        </w:rPr>
        <w:t xml:space="preserve">UNIT – 3   IN VITRO PRE-CLINICAL STUDIES                                             </w:t>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 xml:space="preserve">       </w:t>
      </w:r>
    </w:p>
    <w:p>
      <w:pPr>
        <w:spacing w:after="0"/>
        <w:rPr>
          <w:rFonts w:ascii="Times New Roman" w:hAnsi="Times New Roman"/>
          <w:sz w:val="21"/>
          <w:szCs w:val="21"/>
        </w:rPr>
      </w:pPr>
      <w:r>
        <w:rPr>
          <w:rFonts w:ascii="Times New Roman" w:hAnsi="Times New Roman"/>
          <w:sz w:val="21"/>
          <w:szCs w:val="21"/>
        </w:rPr>
        <w:t xml:space="preserve">Selection of animal models, Overview of study types, Pre-clinical studies to be performed before phase I, II and III.  Differences between </w:t>
      </w:r>
      <w:r>
        <w:rPr>
          <w:rStyle w:val="31"/>
          <w:rFonts w:ascii="Times New Roman" w:hAnsi="Times New Roman"/>
          <w:b/>
          <w:bCs/>
          <w:sz w:val="21"/>
          <w:szCs w:val="21"/>
        </w:rPr>
        <w:t>in vitro</w:t>
      </w:r>
      <w:r>
        <w:rPr>
          <w:rFonts w:ascii="Times New Roman" w:hAnsi="Times New Roman"/>
          <w:sz w:val="21"/>
          <w:szCs w:val="21"/>
        </w:rPr>
        <w:t xml:space="preserve"> study and </w:t>
      </w:r>
      <w:r>
        <w:rPr>
          <w:rFonts w:ascii="Times New Roman" w:hAnsi="Times New Roman"/>
          <w:b/>
          <w:sz w:val="21"/>
          <w:szCs w:val="21"/>
        </w:rPr>
        <w:t>in vivo</w:t>
      </w:r>
      <w:r>
        <w:rPr>
          <w:rFonts w:ascii="Times New Roman" w:hAnsi="Times New Roman"/>
          <w:sz w:val="21"/>
          <w:szCs w:val="21"/>
        </w:rPr>
        <w:t xml:space="preserve"> study.</w:t>
      </w:r>
    </w:p>
    <w:p>
      <w:pPr>
        <w:spacing w:after="0"/>
        <w:rPr>
          <w:rFonts w:ascii="Times New Roman" w:hAnsi="Times New Roman"/>
          <w:sz w:val="21"/>
          <w:szCs w:val="21"/>
        </w:rPr>
      </w:pPr>
      <w:r>
        <w:rPr>
          <w:rFonts w:ascii="Times New Roman" w:hAnsi="Times New Roman"/>
          <w:sz w:val="21"/>
          <w:szCs w:val="21"/>
        </w:rPr>
        <w:t xml:space="preserve"> </w:t>
      </w:r>
    </w:p>
    <w:p>
      <w:pPr>
        <w:spacing w:after="0"/>
        <w:rPr>
          <w:rFonts w:ascii="Times New Roman" w:hAnsi="Times New Roman"/>
          <w:sz w:val="21"/>
          <w:szCs w:val="21"/>
        </w:rPr>
      </w:pPr>
      <w:r>
        <w:rPr>
          <w:rFonts w:ascii="Times New Roman" w:hAnsi="Times New Roman"/>
          <w:b/>
          <w:sz w:val="21"/>
          <w:szCs w:val="21"/>
        </w:rPr>
        <w:t xml:space="preserve">UNIT– 4   </w:t>
      </w:r>
      <w:r>
        <w:rPr>
          <w:rFonts w:ascii="Times New Roman" w:hAnsi="Times New Roman"/>
          <w:sz w:val="21"/>
          <w:szCs w:val="21"/>
        </w:rPr>
        <w:t xml:space="preserve"> </w:t>
      </w:r>
      <w:r>
        <w:rPr>
          <w:rFonts w:ascii="Times New Roman" w:hAnsi="Times New Roman"/>
          <w:b/>
          <w:sz w:val="21"/>
          <w:szCs w:val="21"/>
        </w:rPr>
        <w:t xml:space="preserve">IN-VIVO STUDIES                                                                             </w:t>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 xml:space="preserve">      </w:t>
      </w:r>
    </w:p>
    <w:p>
      <w:pPr>
        <w:spacing w:after="0"/>
        <w:jc w:val="both"/>
        <w:rPr>
          <w:rFonts w:ascii="Times New Roman" w:hAnsi="Times New Roman"/>
          <w:sz w:val="21"/>
          <w:szCs w:val="21"/>
        </w:rPr>
      </w:pPr>
      <w:r>
        <w:rPr>
          <w:rFonts w:ascii="Times New Roman" w:hAnsi="Times New Roman"/>
          <w:sz w:val="21"/>
          <w:szCs w:val="21"/>
        </w:rPr>
        <w:t>Introduction, Factors to be considered for animal studies, Animal models of diseases, Teratogenicity, Mutagenicity, Carcinogenicity, Significance of Adverse event, Serious Adverse event and End point.</w:t>
      </w:r>
    </w:p>
    <w:p>
      <w:pPr>
        <w:spacing w:after="0"/>
        <w:jc w:val="both"/>
        <w:rPr>
          <w:rFonts w:ascii="Times New Roman" w:hAnsi="Times New Roman"/>
          <w:sz w:val="21"/>
          <w:szCs w:val="21"/>
        </w:rPr>
      </w:pPr>
    </w:p>
    <w:p>
      <w:pPr>
        <w:jc w:val="both"/>
        <w:rPr>
          <w:sz w:val="21"/>
          <w:szCs w:val="21"/>
        </w:rPr>
      </w:pPr>
    </w:p>
    <w:p>
      <w:pPr>
        <w:jc w:val="both"/>
        <w:rPr>
          <w:sz w:val="21"/>
          <w:szCs w:val="21"/>
        </w:rPr>
      </w:pPr>
    </w:p>
    <w:p>
      <w:pPr>
        <w:pStyle w:val="22"/>
        <w:ind w:left="0"/>
        <w:rPr>
          <w:rFonts w:ascii="Arial" w:hAnsi="Arial" w:cs="Arial"/>
          <w:color w:val="000000"/>
          <w:sz w:val="22"/>
          <w:szCs w:val="22"/>
        </w:rPr>
      </w:pPr>
    </w:p>
    <w:p>
      <w:pPr>
        <w:jc w:val="center"/>
        <w:rPr>
          <w:b/>
          <w:bCs/>
          <w:color w:val="000000"/>
          <w:sz w:val="22"/>
          <w:szCs w:val="22"/>
          <w:u w:val="single"/>
        </w:rPr>
      </w:pPr>
    </w:p>
    <w:p>
      <w:pPr>
        <w:pStyle w:val="2"/>
        <w:rPr>
          <w:rFonts w:ascii="Arial" w:hAnsi="Arial" w:cs="Arial"/>
          <w:sz w:val="24"/>
          <w:szCs w:val="24"/>
        </w:rPr>
      </w:pPr>
      <w:r>
        <w:rPr>
          <w:rFonts w:ascii="Arial" w:hAnsi="Arial" w:cs="Arial"/>
          <w:sz w:val="24"/>
          <w:szCs w:val="24"/>
        </w:rPr>
        <w:t>Method of delivery</w:t>
      </w:r>
    </w:p>
    <w:p>
      <w:pPr>
        <w:pStyle w:val="22"/>
        <w:numPr>
          <w:ilvl w:val="0"/>
          <w:numId w:val="1"/>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1"/>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1"/>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1"/>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1"/>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hint="default" w:ascii="Arial" w:hAnsi="Arial" w:cs="Arial"/>
          <w:color w:val="000000" w:themeColor="text1"/>
          <w:lang w:val="en"/>
          <w14:textFill>
            <w14:solidFill>
              <w14:schemeClr w14:val="tx1"/>
            </w14:solidFill>
          </w14:textFill>
        </w:rPr>
        <w:t>3</w:t>
      </w:r>
      <w:r>
        <w:rPr>
          <w:rFonts w:ascii="Arial" w:hAnsi="Arial" w:cs="Arial"/>
          <w:color w:val="000000" w:themeColor="text1"/>
          <w14:textFill>
            <w14:solidFill>
              <w14:schemeClr w14:val="tx1"/>
            </w14:solidFill>
          </w14:textFill>
        </w:rPr>
        <w:t xml:space="preserve"> hours/week</w:t>
      </w:r>
    </w:p>
    <w:p>
      <w:pPr>
        <w:ind w:left="567" w:hanging="567"/>
        <w:jc w:val="both"/>
        <w:rPr>
          <w:rFonts w:ascii="Arial" w:hAnsi="Arial" w:cs="Arial"/>
          <w:color w:val="000000" w:themeColor="text1"/>
          <w14:textFill>
            <w14:solidFill>
              <w14:schemeClr w14:val="tx1"/>
            </w14:solidFill>
          </w14:textFill>
        </w:rPr>
      </w:pPr>
    </w:p>
    <w:p/>
    <w:p/>
    <w:p/>
    <w:p/>
    <w:p/>
    <w:p/>
    <w:p>
      <w:pPr>
        <w:pStyle w:val="2"/>
        <w:rPr>
          <w:rFonts w:ascii="Arial" w:hAnsi="Arial" w:cs="Arial"/>
          <w:sz w:val="24"/>
          <w:szCs w:val="24"/>
        </w:rPr>
      </w:pPr>
      <w:r>
        <w:rPr>
          <w:rFonts w:ascii="Arial" w:hAnsi="Arial" w:cs="Arial"/>
          <w:sz w:val="24"/>
          <w:szCs w:val="24"/>
        </w:rPr>
        <w:t>Blooms Taxonomyand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rPr>
                <w:rFonts w:hint="default" w:ascii="Arial" w:hAnsi="Arial" w:cs="Arial"/>
                <w:lang w:val="en"/>
              </w:rPr>
            </w:pPr>
            <w:r>
              <w:rPr>
                <w:rFonts w:ascii="Arial" w:hAnsi="Arial" w:cs="Arial"/>
              </w:rPr>
              <w:t xml:space="preserve">Student will be able to learn regarding </w:t>
            </w:r>
            <w:r>
              <w:rPr>
                <w:rFonts w:hint="default" w:ascii="Arial" w:hAnsi="Arial" w:cs="Arial"/>
                <w:lang w:val="en"/>
              </w:rPr>
              <w:t>preclinical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r>
              <w:rPr>
                <w:rFonts w:ascii="Arial" w:hAnsi="Arial" w:cs="Arial"/>
              </w:rPr>
              <w:t>Student will be able to learn and create</w:t>
            </w:r>
          </w:p>
          <w:p>
            <w:pPr>
              <w:rPr>
                <w:rFonts w:ascii="Arial" w:hAnsi="Arial" w:cs="Arial"/>
                <w:b/>
              </w:rPr>
            </w:pPr>
            <w:r>
              <w:rPr>
                <w:rFonts w:ascii="Arial" w:hAnsi="Arial" w:cs="Arial"/>
              </w:rPr>
              <w:t xml:space="preserve">Different </w:t>
            </w:r>
            <w:r>
              <w:rPr>
                <w:rFonts w:hint="default" w:ascii="Arial" w:hAnsi="Arial" w:cs="Arial"/>
                <w:lang w:val="en"/>
              </w:rPr>
              <w:t xml:space="preserve">studies and </w:t>
            </w:r>
            <w:r>
              <w:rPr>
                <w:rFonts w:ascii="Arial" w:hAnsi="Arial" w:cs="Arial"/>
              </w:rPr>
              <w:t xml:space="preserve">application could be done in </w:t>
            </w:r>
            <w:r>
              <w:rPr>
                <w:rFonts w:hint="default" w:ascii="Arial" w:hAnsi="Arial" w:cs="Arial"/>
                <w:lang w:val="en"/>
              </w:rPr>
              <w:t>pre</w:t>
            </w:r>
            <w:r>
              <w:rPr>
                <w:rFonts w:ascii="Arial" w:hAnsi="Arial" w:cs="Arial"/>
              </w:rPr>
              <w:t xml:space="preserve"> phases of trial.</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understand importance of </w:t>
            </w:r>
            <w:r>
              <w:rPr>
                <w:rFonts w:hint="default" w:ascii="Arial" w:hAnsi="Arial" w:cs="Arial"/>
                <w:lang w:val="en"/>
              </w:rPr>
              <w:t xml:space="preserve">preclinical studies </w:t>
            </w:r>
            <w:r>
              <w:rPr>
                <w:rFonts w:ascii="Arial" w:hAnsi="Arial" w:cs="Arial"/>
              </w:rPr>
              <w:t xml:space="preserve"> and application finally in drug research </w:t>
            </w:r>
          </w:p>
          <w:p>
            <w:pPr>
              <w:keepLines/>
              <w:rPr>
                <w:rFonts w:ascii="Arial" w:hAnsi="Arial" w:cs="Arial"/>
              </w:rPr>
            </w:pPr>
            <w:r>
              <w:rPr>
                <w:rFonts w:ascii="Arial" w:hAnsi="Arial" w:cs="Arial"/>
              </w:rPr>
              <w:t>In the Pharmaceutical industry.</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1076325"/>
                <wp:effectExtent l="4445" t="4445" r="23495" b="5080"/>
                <wp:wrapNone/>
                <wp:docPr id="1" name="Text Box 2"/>
                <wp:cNvGraphicFramePr/>
                <a:graphic xmlns:a="http://schemas.openxmlformats.org/drawingml/2006/main">
                  <a:graphicData uri="http://schemas.microsoft.com/office/word/2010/wordprocessingShape">
                    <wps:wsp>
                      <wps:cNvSpPr txBox="1"/>
                      <wps:spPr>
                        <a:xfrm>
                          <a:off x="0" y="0"/>
                          <a:ext cx="6487160" cy="10763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wps:txbx>
                      <wps:bodyPr upright="1"/>
                    </wps:wsp>
                  </a:graphicData>
                </a:graphic>
              </wp:anchor>
            </w:drawing>
          </mc:Choice>
          <mc:Fallback>
            <w:pict>
              <v:shape id="Text Box 2" o:spid="_x0000_s1026" o:spt="202" type="#_x0000_t202" style="position:absolute;left:0pt;margin-left:0.3pt;margin-top:11.2pt;height:84.75pt;width:510.8pt;z-index:251659264;mso-width-relative:page;mso-height-relative:page;" fillcolor="#FFFFFF" filled="t" stroked="t" coordsize="21600,21600" o:gfxdata="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TTVhrVAAAACAEAAA8AAAAAAAAAAQAgAAAAOAAAAGRycy9kb3ducmV2LnhtbFBLAQIU&#10;ABQAAAAIAIdO4kCWyMyu4AEAAOgDAAAOAAAAAAAAAAEAIAAAADoBAABkcnMvZTJvRG9jLnhtbFBL&#10;BQYAAAAABgAGAFkBAACMBQ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
      <w:pPr>
        <w:pStyle w:val="22"/>
        <w:numPr>
          <w:ilvl w:val="0"/>
          <w:numId w:val="2"/>
        </w:numPr>
        <w:spacing w:after="0" w:line="240" w:lineRule="auto"/>
        <w:outlineLvl w:val="0"/>
        <w:rPr>
          <w:rFonts w:ascii="Times New Roman" w:hAnsi="Times New Roman"/>
          <w:sz w:val="21"/>
          <w:szCs w:val="21"/>
        </w:rPr>
      </w:pPr>
      <w:r>
        <w:rPr>
          <w:rFonts w:ascii="Times New Roman" w:hAnsi="Times New Roman"/>
          <w:sz w:val="21"/>
          <w:szCs w:val="21"/>
        </w:rPr>
        <w:t xml:space="preserve">Preclinical Drug Development, Edited by </w:t>
      </w:r>
      <w:r>
        <w:rPr>
          <w:rStyle w:val="32"/>
          <w:rFonts w:ascii="Times New Roman" w:hAnsi="Times New Roman"/>
          <w:sz w:val="21"/>
          <w:szCs w:val="21"/>
        </w:rPr>
        <w:t>Mark Rogge</w:t>
      </w:r>
      <w:r>
        <w:rPr>
          <w:rStyle w:val="33"/>
          <w:rFonts w:ascii="Times New Roman" w:hAnsi="Times New Roman"/>
          <w:sz w:val="21"/>
          <w:szCs w:val="21"/>
        </w:rPr>
        <w:t xml:space="preserve">, </w:t>
      </w:r>
      <w:r>
        <w:rPr>
          <w:rStyle w:val="32"/>
          <w:rFonts w:ascii="Times New Roman" w:hAnsi="Times New Roman"/>
          <w:sz w:val="21"/>
          <w:szCs w:val="21"/>
        </w:rPr>
        <w:t>David R. Taft</w:t>
      </w:r>
      <w:r>
        <w:rPr>
          <w:rFonts w:ascii="Times New Roman" w:hAnsi="Times New Roman"/>
          <w:sz w:val="21"/>
          <w:szCs w:val="21"/>
        </w:rPr>
        <w:t>, Second Edition, 25</w:t>
      </w:r>
      <w:r>
        <w:rPr>
          <w:rFonts w:ascii="Times New Roman" w:hAnsi="Times New Roman"/>
          <w:sz w:val="21"/>
          <w:szCs w:val="21"/>
          <w:vertAlign w:val="superscript"/>
        </w:rPr>
        <w:t>th</w:t>
      </w:r>
      <w:r>
        <w:rPr>
          <w:rFonts w:ascii="Times New Roman" w:hAnsi="Times New Roman"/>
          <w:sz w:val="21"/>
          <w:szCs w:val="21"/>
        </w:rPr>
        <w:t xml:space="preserve"> Sep 2009.</w:t>
      </w:r>
    </w:p>
    <w:p>
      <w:pPr>
        <w:pStyle w:val="22"/>
        <w:numPr>
          <w:ilvl w:val="0"/>
          <w:numId w:val="2"/>
        </w:numPr>
        <w:spacing w:after="0" w:line="240" w:lineRule="auto"/>
        <w:rPr>
          <w:rFonts w:ascii="Times New Roman" w:hAnsi="Times New Roman"/>
          <w:sz w:val="21"/>
          <w:szCs w:val="21"/>
        </w:rPr>
      </w:pPr>
      <w:r>
        <w:rPr>
          <w:rFonts w:ascii="Times New Roman" w:hAnsi="Times New Roman"/>
          <w:sz w:val="21"/>
          <w:szCs w:val="21"/>
        </w:rPr>
        <w:t>Drug Design to Clinical Research – ICRI.</w:t>
      </w:r>
    </w:p>
    <w:p>
      <w:pPr>
        <w:pStyle w:val="2"/>
        <w:keepNext w:val="0"/>
        <w:keepLines w:val="0"/>
        <w:numPr>
          <w:ilvl w:val="0"/>
          <w:numId w:val="2"/>
        </w:numPr>
        <w:suppressAutoHyphens w:val="0"/>
        <w:spacing w:before="0" w:line="240" w:lineRule="auto"/>
        <w:rPr>
          <w:rFonts w:ascii="Times New Roman" w:hAnsi="Times New Roman" w:eastAsia="Calibri"/>
          <w:b w:val="0"/>
          <w:bCs w:val="0"/>
          <w:color w:val="auto"/>
          <w:sz w:val="21"/>
          <w:szCs w:val="21"/>
          <w:lang w:eastAsia="zh-CN"/>
        </w:rPr>
      </w:pPr>
      <w:r>
        <w:rPr>
          <w:rFonts w:ascii="Times New Roman" w:hAnsi="Times New Roman" w:eastAsia="Calibri"/>
          <w:b w:val="0"/>
          <w:bCs w:val="0"/>
          <w:color w:val="auto"/>
          <w:sz w:val="21"/>
          <w:szCs w:val="21"/>
          <w:lang w:eastAsia="zh-CN"/>
        </w:rPr>
        <w:t>A Comprehensive Guide to Toxicology in Preclinical Drug Development, Ali S. Faqi, Second Edition, 2013.</w:t>
      </w:r>
    </w:p>
    <w:p>
      <w:pPr>
        <w:pStyle w:val="22"/>
        <w:numPr>
          <w:ilvl w:val="0"/>
          <w:numId w:val="2"/>
        </w:numPr>
        <w:spacing w:after="0" w:line="240" w:lineRule="auto"/>
        <w:rPr>
          <w:rFonts w:ascii="Times New Roman" w:hAnsi="Times New Roman"/>
          <w:sz w:val="21"/>
          <w:szCs w:val="21"/>
        </w:rPr>
      </w:pPr>
      <w:r>
        <w:rPr>
          <w:rFonts w:ascii="Times New Roman" w:hAnsi="Times New Roman"/>
          <w:sz w:val="21"/>
          <w:szCs w:val="21"/>
        </w:rPr>
        <w:t xml:space="preserve">Pre-Clinical evaluation of new drugs,  S K Gupta. </w:t>
      </w:r>
    </w:p>
    <w:p>
      <w:pPr>
        <w:jc w:val="both"/>
        <w:rPr>
          <w:rFonts w:hint="default" w:ascii="Arial" w:hAnsi="Arial" w:cs="Arial"/>
          <w:bCs/>
          <w:lang w:val="en"/>
        </w:rPr>
      </w:pPr>
    </w:p>
    <w:p>
      <w:pPr>
        <w:jc w:val="both"/>
        <w:rPr>
          <w:rFonts w:hint="default" w:ascii="Arial" w:hAnsi="Arial" w:cs="Arial"/>
          <w:bCs/>
          <w:lang w:val="en"/>
        </w:rPr>
      </w:pPr>
    </w:p>
    <w:p>
      <w:pPr>
        <w:jc w:val="both"/>
        <w:rPr>
          <w:rFonts w:hint="default" w:ascii="Arial" w:hAnsi="Arial" w:cs="Arial"/>
          <w:b/>
          <w:bCs w:val="0"/>
          <w:color w:val="4F81BD" w:themeColor="accent1"/>
          <w:lang w:val="en"/>
          <w14:textFill>
            <w14:solidFill>
              <w14:schemeClr w14:val="accent1"/>
            </w14:solidFill>
          </w14:textFill>
        </w:rPr>
      </w:pPr>
      <w:r>
        <w:rPr>
          <w:rFonts w:hint="default" w:ascii="Arial" w:hAnsi="Arial" w:cs="Arial"/>
          <w:b/>
          <w:bCs w:val="0"/>
          <w:color w:val="4F81BD" w:themeColor="accent1"/>
          <w:lang w:val="en"/>
          <w14:textFill>
            <w14:solidFill>
              <w14:schemeClr w14:val="accent1"/>
            </w14:solidFill>
          </w14:textFill>
        </w:rPr>
        <w:t xml:space="preserve"> Textbook:</w:t>
      </w:r>
    </w:p>
    <w:p>
      <w:pPr>
        <w:pStyle w:val="22"/>
        <w:numPr>
          <w:numId w:val="0"/>
        </w:numPr>
        <w:spacing w:after="0" w:line="240" w:lineRule="auto"/>
        <w:ind w:firstLine="720" w:firstLineChars="0"/>
        <w:rPr>
          <w:rFonts w:ascii="Times New Roman" w:hAnsi="Times New Roman"/>
          <w:sz w:val="21"/>
          <w:szCs w:val="21"/>
        </w:rPr>
      </w:pPr>
      <w:r>
        <w:rPr>
          <w:rFonts w:ascii="Times New Roman" w:hAnsi="Times New Roman"/>
          <w:sz w:val="21"/>
          <w:szCs w:val="21"/>
        </w:rPr>
        <w:t xml:space="preserve">Pre-Clinical evaluation of new drugs,  S K Gupta. </w:t>
      </w:r>
    </w:p>
    <w:p>
      <w:pPr>
        <w:jc w:val="both"/>
        <w:rPr>
          <w:rFonts w:hint="default" w:ascii="Arial" w:hAnsi="Arial" w:cs="Arial"/>
          <w:bCs/>
          <w:lang w:val="en"/>
        </w:rPr>
      </w:pPr>
    </w:p>
    <w:p>
      <w:pPr>
        <w:jc w:val="both"/>
        <w:rPr>
          <w:rFonts w:hint="default" w:ascii="Arial" w:hAnsi="Arial" w:cs="Arial"/>
          <w:bCs/>
          <w:lang w:val="en"/>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tbl>
      <w:tblPr>
        <w:tblStyle w:val="6"/>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963"/>
        <w:gridCol w:w="1021"/>
        <w:gridCol w:w="881"/>
        <w:gridCol w:w="1372"/>
        <w:gridCol w:w="1372"/>
        <w:gridCol w:w="1259"/>
        <w:gridCol w:w="1259"/>
        <w:gridCol w:w="30"/>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 xml:space="preserve">Subject : </w:t>
            </w:r>
            <w:r>
              <w:rPr>
                <w:rFonts w:ascii="Times New Roman" w:hAnsi="Times New Roman" w:eastAsia="Times New Roman"/>
                <w:b/>
                <w:color w:val="000000"/>
                <w:sz w:val="18"/>
                <w:szCs w:val="18"/>
              </w:rPr>
              <w:t>Pre-Clinical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1" w:type="dxa"/>
            <w:gridSpan w:val="3"/>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Program : B.Sc-Clinical Research and Healthcare Management</w:t>
            </w:r>
          </w:p>
        </w:tc>
        <w:tc>
          <w:tcPr>
            <w:tcW w:w="3625" w:type="dxa"/>
            <w:gridSpan w:val="3"/>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Subject Code : UCR0304</w:t>
            </w:r>
          </w:p>
        </w:tc>
        <w:tc>
          <w:tcPr>
            <w:tcW w:w="3114" w:type="dxa"/>
            <w:gridSpan w:val="4"/>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Semester :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rPr>
                <w:rFonts w:ascii="Times New Roman" w:hAnsi="Times New Roman"/>
                <w:b/>
                <w:color w:val="00000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01" w:type="dxa"/>
            <w:gridSpan w:val="3"/>
            <w:noWrap w:val="0"/>
            <w:vAlign w:val="top"/>
          </w:tcPr>
          <w:p>
            <w:pPr>
              <w:pStyle w:val="28"/>
              <w:spacing w:line="259"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Teaching Scheme</w:t>
            </w:r>
          </w:p>
        </w:tc>
        <w:tc>
          <w:tcPr>
            <w:tcW w:w="6173" w:type="dxa"/>
            <w:gridSpan w:val="6"/>
            <w:noWrap w:val="0"/>
            <w:vAlign w:val="top"/>
          </w:tcPr>
          <w:p>
            <w:pPr>
              <w:pStyle w:val="28"/>
              <w:spacing w:line="259" w:lineRule="auto"/>
              <w:jc w:val="center"/>
              <w:rPr>
                <w:rFonts w:ascii="Times New Roman" w:hAnsi="Times New Roman"/>
                <w:b/>
                <w:color w:val="000000"/>
                <w:sz w:val="18"/>
                <w:szCs w:val="18"/>
                <w:lang w:eastAsia="en-US"/>
              </w:rPr>
            </w:pPr>
            <w:r>
              <w:rPr>
                <w:rFonts w:ascii="Times New Roman" w:hAnsi="Times New Roman"/>
                <w:b/>
                <w:color w:val="000000"/>
                <w:sz w:val="18"/>
                <w:szCs w:val="18"/>
                <w:lang w:eastAsia="en-US"/>
              </w:rPr>
              <w:t>Examination Evaluation Scheme</w:t>
            </w:r>
          </w:p>
        </w:tc>
        <w:tc>
          <w:tcPr>
            <w:tcW w:w="566" w:type="dxa"/>
            <w:noWrap w:val="0"/>
            <w:vAlign w:val="top"/>
          </w:tcPr>
          <w:p>
            <w:pPr>
              <w:pStyle w:val="28"/>
              <w:spacing w:line="259" w:lineRule="auto"/>
              <w:jc w:val="center"/>
              <w:rPr>
                <w:rFonts w:ascii="Times New Roman" w:hAnsi="Times New Roman"/>
                <w:b/>
                <w:color w:val="00000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Lecture</w:t>
            </w:r>
          </w:p>
        </w:tc>
        <w:tc>
          <w:tcPr>
            <w:tcW w:w="963" w:type="dxa"/>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Tutorial</w:t>
            </w:r>
          </w:p>
        </w:tc>
        <w:tc>
          <w:tcPr>
            <w:tcW w:w="1021" w:type="dxa"/>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Practical</w:t>
            </w:r>
          </w:p>
        </w:tc>
        <w:tc>
          <w:tcPr>
            <w:tcW w:w="881" w:type="dxa"/>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Credits</w:t>
            </w:r>
          </w:p>
        </w:tc>
        <w:tc>
          <w:tcPr>
            <w:tcW w:w="1372" w:type="dxa"/>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University Theory Examination</w:t>
            </w:r>
          </w:p>
        </w:tc>
        <w:tc>
          <w:tcPr>
            <w:tcW w:w="1372" w:type="dxa"/>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University Practical Examination</w:t>
            </w:r>
          </w:p>
        </w:tc>
        <w:tc>
          <w:tcPr>
            <w:tcW w:w="1259" w:type="dxa"/>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Continuous Internal Evaluation (CIE)- Theory</w:t>
            </w:r>
          </w:p>
        </w:tc>
        <w:tc>
          <w:tcPr>
            <w:tcW w:w="1259" w:type="dxa"/>
            <w:noWrap w:val="0"/>
            <w:vAlign w:val="top"/>
          </w:tcPr>
          <w:p>
            <w:pPr>
              <w:pStyle w:val="28"/>
              <w:spacing w:line="259" w:lineRule="auto"/>
              <w:rPr>
                <w:rFonts w:ascii="Times New Roman" w:hAnsi="Times New Roman"/>
                <w:b/>
                <w:color w:val="000000"/>
                <w:sz w:val="18"/>
                <w:szCs w:val="18"/>
                <w:lang w:eastAsia="en-US"/>
              </w:rPr>
            </w:pPr>
            <w:r>
              <w:rPr>
                <w:rFonts w:ascii="Times New Roman" w:hAnsi="Times New Roman"/>
                <w:b/>
                <w:color w:val="000000"/>
                <w:sz w:val="18"/>
                <w:szCs w:val="18"/>
                <w:lang w:eastAsia="en-US"/>
              </w:rPr>
              <w:t>Continuous Internal Evaluation (CIE) - Practical</w:t>
            </w:r>
          </w:p>
        </w:tc>
        <w:tc>
          <w:tcPr>
            <w:tcW w:w="596" w:type="dxa"/>
            <w:gridSpan w:val="2"/>
            <w:noWrap w:val="0"/>
            <w:vAlign w:val="top"/>
          </w:tcPr>
          <w:p>
            <w:pPr>
              <w:pStyle w:val="28"/>
              <w:spacing w:line="259" w:lineRule="auto"/>
              <w:ind w:left="-79" w:right="-108"/>
              <w:rPr>
                <w:rFonts w:ascii="Times New Roman" w:hAnsi="Times New Roman"/>
                <w:b/>
                <w:color w:val="000000"/>
                <w:sz w:val="18"/>
                <w:szCs w:val="18"/>
                <w:lang w:eastAsia="en-US"/>
              </w:rPr>
            </w:pPr>
            <w:r>
              <w:rPr>
                <w:rFonts w:ascii="Times New Roman" w:hAnsi="Times New Roman"/>
                <w:b/>
                <w:color w:val="000000"/>
                <w:sz w:val="18"/>
                <w:szCs w:val="18"/>
                <w:lang w:eastAsia="en-U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pStyle w:val="28"/>
              <w:spacing w:line="259" w:lineRule="auto"/>
              <w:jc w:val="center"/>
              <w:rPr>
                <w:rFonts w:ascii="Times New Roman" w:hAnsi="Times New Roman"/>
                <w:caps/>
                <w:sz w:val="21"/>
                <w:szCs w:val="21"/>
                <w:lang w:val="en-GB"/>
              </w:rPr>
            </w:pPr>
            <w:r>
              <w:rPr>
                <w:rFonts w:ascii="Times New Roman" w:hAnsi="Times New Roman"/>
                <w:caps/>
                <w:sz w:val="21"/>
                <w:szCs w:val="21"/>
                <w:lang w:val="en-GB"/>
              </w:rPr>
              <w:t>3</w:t>
            </w:r>
          </w:p>
        </w:tc>
        <w:tc>
          <w:tcPr>
            <w:tcW w:w="963" w:type="dxa"/>
            <w:noWrap w:val="0"/>
            <w:vAlign w:val="top"/>
          </w:tcPr>
          <w:p>
            <w:pPr>
              <w:pStyle w:val="28"/>
              <w:spacing w:line="259" w:lineRule="auto"/>
              <w:jc w:val="center"/>
              <w:rPr>
                <w:rFonts w:ascii="Times New Roman" w:hAnsi="Times New Roman"/>
                <w:caps/>
                <w:sz w:val="21"/>
                <w:szCs w:val="21"/>
                <w:lang w:val="en-GB"/>
              </w:rPr>
            </w:pPr>
            <w:r>
              <w:rPr>
                <w:rFonts w:ascii="Times New Roman" w:hAnsi="Times New Roman"/>
                <w:caps/>
                <w:sz w:val="21"/>
                <w:szCs w:val="21"/>
                <w:lang w:val="en-GB"/>
              </w:rPr>
              <w:t>0</w:t>
            </w:r>
          </w:p>
        </w:tc>
        <w:tc>
          <w:tcPr>
            <w:tcW w:w="1021" w:type="dxa"/>
            <w:noWrap w:val="0"/>
            <w:vAlign w:val="top"/>
          </w:tcPr>
          <w:p>
            <w:pPr>
              <w:pStyle w:val="28"/>
              <w:spacing w:line="259" w:lineRule="auto"/>
              <w:jc w:val="center"/>
              <w:rPr>
                <w:rFonts w:ascii="Times New Roman" w:hAnsi="Times New Roman"/>
                <w:caps/>
                <w:sz w:val="21"/>
                <w:szCs w:val="21"/>
                <w:lang w:val="en-GB"/>
              </w:rPr>
            </w:pPr>
            <w:r>
              <w:rPr>
                <w:rFonts w:ascii="Times New Roman" w:hAnsi="Times New Roman"/>
                <w:caps/>
                <w:sz w:val="21"/>
                <w:szCs w:val="21"/>
                <w:lang w:val="en-GB"/>
              </w:rPr>
              <w:t>0</w:t>
            </w:r>
          </w:p>
        </w:tc>
        <w:tc>
          <w:tcPr>
            <w:tcW w:w="881" w:type="dxa"/>
            <w:noWrap w:val="0"/>
            <w:vAlign w:val="top"/>
          </w:tcPr>
          <w:p>
            <w:pPr>
              <w:pStyle w:val="28"/>
              <w:spacing w:line="259" w:lineRule="auto"/>
              <w:jc w:val="center"/>
              <w:rPr>
                <w:rFonts w:ascii="Times New Roman" w:hAnsi="Times New Roman"/>
                <w:caps/>
                <w:sz w:val="21"/>
                <w:szCs w:val="21"/>
                <w:lang w:val="en-GB"/>
              </w:rPr>
            </w:pPr>
            <w:r>
              <w:rPr>
                <w:rFonts w:ascii="Times New Roman" w:hAnsi="Times New Roman"/>
                <w:caps/>
                <w:sz w:val="21"/>
                <w:szCs w:val="21"/>
                <w:lang w:val="en-GB"/>
              </w:rPr>
              <w:t>3</w:t>
            </w:r>
          </w:p>
        </w:tc>
        <w:tc>
          <w:tcPr>
            <w:tcW w:w="1372" w:type="dxa"/>
            <w:noWrap w:val="0"/>
            <w:vAlign w:val="top"/>
          </w:tcPr>
          <w:p>
            <w:pPr>
              <w:pStyle w:val="28"/>
              <w:spacing w:line="259" w:lineRule="auto"/>
              <w:jc w:val="center"/>
              <w:rPr>
                <w:rFonts w:ascii="Times New Roman" w:hAnsi="Times New Roman"/>
                <w:caps/>
                <w:sz w:val="21"/>
                <w:szCs w:val="21"/>
                <w:lang w:val="en-GB"/>
              </w:rPr>
            </w:pPr>
            <w:r>
              <w:rPr>
                <w:rFonts w:ascii="Times New Roman" w:hAnsi="Times New Roman"/>
                <w:caps/>
                <w:sz w:val="21"/>
                <w:szCs w:val="21"/>
                <w:lang w:val="en-GB"/>
              </w:rPr>
              <w:t>40</w:t>
            </w:r>
          </w:p>
        </w:tc>
        <w:tc>
          <w:tcPr>
            <w:tcW w:w="1372" w:type="dxa"/>
            <w:noWrap w:val="0"/>
            <w:vAlign w:val="top"/>
          </w:tcPr>
          <w:p>
            <w:pPr>
              <w:pStyle w:val="28"/>
              <w:spacing w:line="259" w:lineRule="auto"/>
              <w:jc w:val="center"/>
              <w:rPr>
                <w:rFonts w:ascii="Times New Roman" w:hAnsi="Times New Roman"/>
                <w:caps/>
                <w:sz w:val="21"/>
                <w:szCs w:val="21"/>
                <w:lang w:val="en-GB"/>
              </w:rPr>
            </w:pPr>
          </w:p>
        </w:tc>
        <w:tc>
          <w:tcPr>
            <w:tcW w:w="1259" w:type="dxa"/>
            <w:noWrap w:val="0"/>
            <w:vAlign w:val="top"/>
          </w:tcPr>
          <w:p>
            <w:pPr>
              <w:pStyle w:val="28"/>
              <w:spacing w:line="259" w:lineRule="auto"/>
              <w:jc w:val="center"/>
              <w:rPr>
                <w:rFonts w:ascii="Times New Roman" w:hAnsi="Times New Roman"/>
                <w:caps/>
                <w:sz w:val="21"/>
                <w:szCs w:val="21"/>
                <w:lang w:val="en-GB"/>
              </w:rPr>
            </w:pPr>
            <w:r>
              <w:rPr>
                <w:rFonts w:ascii="Times New Roman" w:hAnsi="Times New Roman"/>
                <w:caps/>
                <w:sz w:val="21"/>
                <w:szCs w:val="21"/>
                <w:lang w:val="en-GB"/>
              </w:rPr>
              <w:t>60</w:t>
            </w:r>
          </w:p>
        </w:tc>
        <w:tc>
          <w:tcPr>
            <w:tcW w:w="1259" w:type="dxa"/>
            <w:noWrap w:val="0"/>
            <w:vAlign w:val="top"/>
          </w:tcPr>
          <w:p>
            <w:pPr>
              <w:pStyle w:val="28"/>
              <w:spacing w:line="259" w:lineRule="auto"/>
              <w:jc w:val="center"/>
              <w:rPr>
                <w:rFonts w:ascii="Times New Roman" w:hAnsi="Times New Roman"/>
                <w:caps/>
                <w:sz w:val="21"/>
                <w:szCs w:val="21"/>
                <w:lang w:val="en-GB"/>
              </w:rPr>
            </w:pPr>
          </w:p>
        </w:tc>
        <w:tc>
          <w:tcPr>
            <w:tcW w:w="596" w:type="dxa"/>
            <w:gridSpan w:val="2"/>
            <w:noWrap w:val="0"/>
            <w:vAlign w:val="top"/>
          </w:tcPr>
          <w:p>
            <w:pPr>
              <w:pStyle w:val="28"/>
              <w:spacing w:line="259" w:lineRule="auto"/>
              <w:jc w:val="center"/>
              <w:rPr>
                <w:rFonts w:ascii="Times New Roman" w:hAnsi="Times New Roman"/>
                <w:caps/>
                <w:sz w:val="21"/>
                <w:szCs w:val="21"/>
                <w:lang w:val="en-GB"/>
              </w:rPr>
            </w:pPr>
            <w:r>
              <w:rPr>
                <w:rFonts w:ascii="Times New Roman" w:hAnsi="Times New Roman"/>
                <w:caps/>
                <w:sz w:val="21"/>
                <w:szCs w:val="21"/>
                <w:lang w:val="en-GB"/>
              </w:rPr>
              <w:t>100</w:t>
            </w:r>
          </w:p>
        </w:tc>
      </w:tr>
    </w:tbl>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ind w:left="2820" w:hanging="2820"/>
        <w:jc w:val="both"/>
        <w:rPr>
          <w:rFonts w:ascii="Arial" w:hAnsi="Arial" w:cs="Arial"/>
          <w:bCs/>
          <w:lang w:val="en-AU"/>
        </w:rPr>
      </w:pP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w:t>
      </w:r>
      <w:r>
        <w:rPr>
          <w:rFonts w:hint="default"/>
          <w:b/>
          <w:lang w:val="en"/>
        </w:rPr>
        <w:t xml:space="preserve"> </w:t>
      </w:r>
      <w:r>
        <w:rPr>
          <w:b/>
          <w:lang w:val="en-AU"/>
        </w:rPr>
        <w:t>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sz w:val="21"/>
                <w:szCs w:val="21"/>
              </w:rPr>
              <w:t>Objectives, Importance of Pre-Clinical trials, Steps involved in Pre-clinical studies,</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jc w:val="both"/>
              <w:rPr>
                <w:rFonts w:ascii="Arial" w:hAnsi="Arial" w:cs="Arial"/>
              </w:rPr>
            </w:pPr>
            <w:r>
              <w:rPr>
                <w:rFonts w:ascii="Times New Roman" w:hAnsi="Times New Roman"/>
                <w:sz w:val="21"/>
                <w:szCs w:val="21"/>
              </w:rPr>
              <w:t>Drug Development process, Types of Pre-Clinical Studies</w:t>
            </w: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spacing w:after="0"/>
              <w:jc w:val="both"/>
              <w:rPr>
                <w:rFonts w:ascii="Arial" w:hAnsi="Arial" w:cs="Arial"/>
                <w:i/>
              </w:rPr>
            </w:pPr>
            <w:r>
              <w:rPr>
                <w:rFonts w:ascii="Times New Roman" w:hAnsi="Times New Roman"/>
                <w:sz w:val="21"/>
                <w:szCs w:val="21"/>
              </w:rPr>
              <w:t xml:space="preserve">Role of F&amp;D department in Pre-Clinical trial, GLP, Toxicity Studies.              </w:t>
            </w: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jc w:val="both"/>
              <w:rPr>
                <w:rFonts w:ascii="Arial" w:hAnsi="Arial" w:cs="Arial"/>
              </w:rPr>
            </w:pPr>
            <w:r>
              <w:rPr>
                <w:rFonts w:ascii="Times New Roman" w:hAnsi="Times New Roman"/>
                <w:sz w:val="21"/>
                <w:szCs w:val="21"/>
              </w:rPr>
              <w:t>Gel Electrophoresis - PAGE, SDS - PAGE, 2D-PAGE,</w:t>
            </w: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spacing w:after="0"/>
              <w:jc w:val="both"/>
              <w:rPr>
                <w:rFonts w:ascii="Times New Roman" w:hAnsi="Times New Roman"/>
                <w:sz w:val="21"/>
                <w:szCs w:val="21"/>
              </w:rPr>
            </w:pPr>
            <w:r>
              <w:rPr>
                <w:rFonts w:ascii="Times New Roman" w:hAnsi="Times New Roman"/>
                <w:sz w:val="21"/>
                <w:szCs w:val="21"/>
              </w:rPr>
              <w:t xml:space="preserve">Introduction, Advantages and Disadvantages, </w:t>
            </w:r>
          </w:p>
          <w:p>
            <w:pPr>
              <w:rPr>
                <w:rFonts w:ascii="Arial" w:hAnsi="Arial" w:cs="Arial"/>
              </w:rPr>
            </w:pP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spacing w:after="0"/>
              <w:jc w:val="both"/>
              <w:rPr>
                <w:rFonts w:ascii="Arial" w:hAnsi="Arial" w:cs="Arial"/>
                <w:i/>
              </w:rPr>
            </w:pPr>
            <w:r>
              <w:rPr>
                <w:rFonts w:ascii="Times New Roman" w:hAnsi="Times New Roman"/>
                <w:sz w:val="21"/>
                <w:szCs w:val="21"/>
              </w:rPr>
              <w:t>Uses, Methodology, Cell based Assays.</w:t>
            </w:r>
          </w:p>
        </w:tc>
        <w:tc>
          <w:tcPr>
            <w:tcW w:w="1943" w:type="dxa"/>
            <w:gridSpan w:val="2"/>
            <w:tcBorders>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jc w:val="both"/>
              <w:rPr>
                <w:rFonts w:ascii="Arial" w:hAnsi="Arial" w:cs="Arial"/>
              </w:rPr>
            </w:pPr>
            <w:r>
              <w:rPr>
                <w:rFonts w:ascii="Times New Roman" w:hAnsi="Times New Roman"/>
                <w:sz w:val="21"/>
                <w:szCs w:val="21"/>
              </w:rPr>
              <w:t xml:space="preserve">Selection of animal models, Overview of study types, </w:t>
            </w: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sz w:val="21"/>
                <w:szCs w:val="21"/>
              </w:rPr>
              <w:t>Pre-clinical studies to be performed before phase I, II and III.</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spacing w:after="0"/>
              <w:rPr>
                <w:rFonts w:ascii="Arial" w:hAnsi="Arial" w:cs="Arial"/>
                <w:i/>
              </w:rPr>
            </w:pPr>
            <w:r>
              <w:rPr>
                <w:rFonts w:ascii="Times New Roman" w:hAnsi="Times New Roman"/>
                <w:sz w:val="21"/>
                <w:szCs w:val="21"/>
              </w:rPr>
              <w:t xml:space="preserve">Differences between </w:t>
            </w:r>
            <w:r>
              <w:rPr>
                <w:rStyle w:val="31"/>
                <w:rFonts w:ascii="Times New Roman" w:hAnsi="Times New Roman"/>
                <w:b/>
                <w:bCs/>
                <w:sz w:val="21"/>
                <w:szCs w:val="21"/>
              </w:rPr>
              <w:t>in vitro</w:t>
            </w:r>
            <w:r>
              <w:rPr>
                <w:rFonts w:ascii="Times New Roman" w:hAnsi="Times New Roman"/>
                <w:sz w:val="21"/>
                <w:szCs w:val="21"/>
              </w:rPr>
              <w:t xml:space="preserve"> study and </w:t>
            </w:r>
            <w:r>
              <w:rPr>
                <w:rFonts w:ascii="Times New Roman" w:hAnsi="Times New Roman"/>
                <w:b/>
                <w:sz w:val="21"/>
                <w:szCs w:val="21"/>
              </w:rPr>
              <w:t>in vivo</w:t>
            </w:r>
            <w:r>
              <w:rPr>
                <w:rFonts w:ascii="Times New Roman" w:hAnsi="Times New Roman"/>
                <w:sz w:val="21"/>
                <w:szCs w:val="21"/>
              </w:rPr>
              <w:t xml:space="preserve"> study.</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sz w:val="21"/>
                <w:szCs w:val="21"/>
              </w:rPr>
              <w:t>Introduction, Factors to be considered for animal studies,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color w:val="0000CC"/>
              </w:rPr>
            </w:pPr>
            <w:r>
              <w:rPr>
                <w:rFonts w:ascii="Times New Roman" w:hAnsi="Times New Roman"/>
                <w:sz w:val="21"/>
                <w:szCs w:val="21"/>
              </w:rPr>
              <w:t>Teratogenicity, Mutagenicity, Carcinogenicity</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ascii="Arial" w:hAnsi="Arial" w:cs="Arial"/>
              </w:rPr>
            </w:pPr>
            <w:r>
              <w:rPr>
                <w:rFonts w:ascii="Arial" w:hAnsi="Arial" w:cs="Arial"/>
              </w:rPr>
              <w:t>Week 12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spacing w:after="0"/>
              <w:jc w:val="both"/>
              <w:rPr>
                <w:rFonts w:hint="default"/>
                <w:lang w:val="en"/>
              </w:rPr>
            </w:pPr>
            <w:r>
              <w:rPr>
                <w:rFonts w:ascii="Times New Roman" w:hAnsi="Times New Roman"/>
                <w:sz w:val="21"/>
                <w:szCs w:val="21"/>
              </w:rPr>
              <w:t>Significance of Adverse event, Serious Adverse event and End point.</w:t>
            </w:r>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sectPr>
          <w:pgSz w:w="11900" w:h="16840"/>
          <w:pgMar w:top="680" w:right="1134" w:bottom="567" w:left="1134" w:header="284" w:footer="567" w:gutter="0"/>
          <w:cols w:space="720" w:num="1"/>
        </w:sectPr>
      </w:pPr>
      <w:bookmarkStart w:id="0" w:name="_GoBack"/>
      <w:bookmarkEnd w:id="0"/>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Shruti">
    <w:altName w:val="FreeSans"/>
    <w:panose1 w:val="020B0502040204020203"/>
    <w:charset w:val="00"/>
    <w:family w:val="swiss"/>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00"/>
    <w:family w:val="roman"/>
    <w:pitch w:val="default"/>
    <w:sig w:usb0="00000000" w:usb1="00000000" w:usb2="00000000" w:usb3="00000000" w:csb0="00000001" w:csb1="00000000"/>
  </w:font>
  <w:font w:name="Times">
    <w:altName w:val="DejaVu Sans"/>
    <w:panose1 w:val="02020603050405020304"/>
    <w:charset w:val="00"/>
    <w:family w:val="roman"/>
    <w:pitch w:val="default"/>
    <w:sig w:usb0="00000000" w:usb1="00000000" w:usb2="00000009" w:usb3="00000000" w:csb0="000001FF" w:csb1="00000000"/>
  </w:font>
  <w:font w:name="Symbol">
    <w:altName w:val="MT Extra"/>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MT Extra">
    <w:panose1 w:val="05050102010205020202"/>
    <w:charset w:val="00"/>
    <w:family w:val="auto"/>
    <w:pitch w:val="default"/>
    <w:sig w:usb0="80000000" w:usb1="00000000" w:usb2="00000000" w:usb3="00000000" w:csb0="00000000" w:csb1="00000000"/>
  </w:font>
  <w:font w:name="FreeSans">
    <w:panose1 w:val="020B0504020202020204"/>
    <w:charset w:val="00"/>
    <w:family w:val="auto"/>
    <w:pitch w:val="default"/>
    <w:sig w:usb0="E4839EFF" w:usb1="4600FDFF" w:usb2="000030A0" w:usb3="00000584" w:csb0="600001BF" w:csb1="DFF7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B203E40"/>
    <w:multiLevelType w:val="multilevel"/>
    <w:tmpl w:val="7B203E40"/>
    <w:lvl w:ilvl="0" w:tentative="0">
      <w:start w:val="1"/>
      <w:numFmt w:val="decimal"/>
      <w:lvlText w:val="%1."/>
      <w:lvlJc w:val="left"/>
      <w:pPr>
        <w:ind w:left="720" w:hanging="360"/>
      </w:pPr>
      <w:rPr>
        <w:b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93EBD"/>
    <w:rsid w:val="000A215A"/>
    <w:rsid w:val="000A21EE"/>
    <w:rsid w:val="000A4FC7"/>
    <w:rsid w:val="000B73BC"/>
    <w:rsid w:val="000C1C70"/>
    <w:rsid w:val="000C2456"/>
    <w:rsid w:val="000D3145"/>
    <w:rsid w:val="000E2A07"/>
    <w:rsid w:val="000E5383"/>
    <w:rsid w:val="000E61B5"/>
    <w:rsid w:val="000F07E9"/>
    <w:rsid w:val="000F0B18"/>
    <w:rsid w:val="000F0B40"/>
    <w:rsid w:val="00101CD9"/>
    <w:rsid w:val="001027D6"/>
    <w:rsid w:val="0010384E"/>
    <w:rsid w:val="00107DB3"/>
    <w:rsid w:val="001113E5"/>
    <w:rsid w:val="001162A0"/>
    <w:rsid w:val="00116B70"/>
    <w:rsid w:val="001200C6"/>
    <w:rsid w:val="0012243A"/>
    <w:rsid w:val="001259FB"/>
    <w:rsid w:val="00127643"/>
    <w:rsid w:val="00130EEC"/>
    <w:rsid w:val="001334BA"/>
    <w:rsid w:val="00134B5D"/>
    <w:rsid w:val="001427D9"/>
    <w:rsid w:val="00144ABD"/>
    <w:rsid w:val="00145370"/>
    <w:rsid w:val="00145CCC"/>
    <w:rsid w:val="00146923"/>
    <w:rsid w:val="00151B30"/>
    <w:rsid w:val="00151CAE"/>
    <w:rsid w:val="001536E7"/>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23292"/>
    <w:rsid w:val="002278F2"/>
    <w:rsid w:val="00232EC6"/>
    <w:rsid w:val="002349F9"/>
    <w:rsid w:val="00250D52"/>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60B3F"/>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4F3A5C"/>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475F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28BD"/>
    <w:rsid w:val="00813F88"/>
    <w:rsid w:val="00824171"/>
    <w:rsid w:val="00825113"/>
    <w:rsid w:val="00826359"/>
    <w:rsid w:val="00826776"/>
    <w:rsid w:val="00833EC8"/>
    <w:rsid w:val="00844384"/>
    <w:rsid w:val="008500D7"/>
    <w:rsid w:val="008508B9"/>
    <w:rsid w:val="00851201"/>
    <w:rsid w:val="00857001"/>
    <w:rsid w:val="00857581"/>
    <w:rsid w:val="00860CD0"/>
    <w:rsid w:val="0086255B"/>
    <w:rsid w:val="00865FB4"/>
    <w:rsid w:val="008669A5"/>
    <w:rsid w:val="00867F6F"/>
    <w:rsid w:val="00870687"/>
    <w:rsid w:val="00871E40"/>
    <w:rsid w:val="00886BF5"/>
    <w:rsid w:val="00894ABB"/>
    <w:rsid w:val="00897C06"/>
    <w:rsid w:val="008A0546"/>
    <w:rsid w:val="008A2FD2"/>
    <w:rsid w:val="008A3DC1"/>
    <w:rsid w:val="008B5760"/>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77184"/>
    <w:rsid w:val="00982D20"/>
    <w:rsid w:val="00983DDD"/>
    <w:rsid w:val="009858B7"/>
    <w:rsid w:val="00986382"/>
    <w:rsid w:val="00987A4A"/>
    <w:rsid w:val="009906B2"/>
    <w:rsid w:val="00991B60"/>
    <w:rsid w:val="00995974"/>
    <w:rsid w:val="009979A8"/>
    <w:rsid w:val="009A0048"/>
    <w:rsid w:val="009A20F7"/>
    <w:rsid w:val="009A34E3"/>
    <w:rsid w:val="009B1F48"/>
    <w:rsid w:val="009B2A34"/>
    <w:rsid w:val="009B3BB8"/>
    <w:rsid w:val="009B3EB4"/>
    <w:rsid w:val="009C0916"/>
    <w:rsid w:val="009C2777"/>
    <w:rsid w:val="009C2B83"/>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1A2"/>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3C48"/>
    <w:rsid w:val="00BF4332"/>
    <w:rsid w:val="00C00A95"/>
    <w:rsid w:val="00C0431E"/>
    <w:rsid w:val="00C064DB"/>
    <w:rsid w:val="00C06704"/>
    <w:rsid w:val="00C067A7"/>
    <w:rsid w:val="00C07877"/>
    <w:rsid w:val="00C10612"/>
    <w:rsid w:val="00C10C72"/>
    <w:rsid w:val="00C11B70"/>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1F5B9BEE"/>
    <w:rsid w:val="2FBE865D"/>
    <w:rsid w:val="34FF5298"/>
    <w:rsid w:val="4FFF28F8"/>
    <w:rsid w:val="6EFB4DC6"/>
    <w:rsid w:val="7775BBF7"/>
    <w:rsid w:val="79F7D70F"/>
    <w:rsid w:val="7B7DC4E5"/>
    <w:rsid w:val="7BFFBF50"/>
    <w:rsid w:val="7F7FFD40"/>
    <w:rsid w:val="AFFF89B1"/>
    <w:rsid w:val="BFB96151"/>
    <w:rsid w:val="BFDB5CBB"/>
    <w:rsid w:val="EDEF63F6"/>
    <w:rsid w:val="EFBB894C"/>
    <w:rsid w:val="FFDC99D2"/>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go"/>
    <w:basedOn w:val="5"/>
    <w:qFormat/>
    <w:uiPriority w:val="0"/>
  </w:style>
  <w:style w:type="character" w:customStyle="1" w:styleId="27">
    <w:name w:val="No Spacing Char"/>
    <w:link w:val="28"/>
    <w:qFormat/>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qFormat/>
    <w:uiPriority w:val="0"/>
    <w:rPr>
      <w:rFonts w:ascii="Arial" w:hAnsi="Arial"/>
      <w:b/>
      <w:sz w:val="24"/>
      <w:lang w:val="en-US" w:eastAsia="en-US"/>
    </w:rPr>
  </w:style>
  <w:style w:type="character" w:customStyle="1" w:styleId="30">
    <w:name w:val="List Paragraph Char"/>
    <w:link w:val="22"/>
    <w:qFormat/>
    <w:uiPriority w:val="34"/>
    <w:rPr>
      <w:sz w:val="24"/>
      <w:szCs w:val="24"/>
      <w:lang w:val="en-US" w:eastAsia="en-US"/>
    </w:rPr>
  </w:style>
  <w:style w:type="character" w:customStyle="1" w:styleId="31">
    <w:name w:val="y0nh2b"/>
    <w:basedOn w:val="5"/>
    <w:qFormat/>
    <w:uiPriority w:val="0"/>
  </w:style>
  <w:style w:type="character" w:customStyle="1" w:styleId="32">
    <w:name w:val="author"/>
    <w:basedOn w:val="5"/>
    <w:qFormat/>
    <w:uiPriority w:val="0"/>
  </w:style>
  <w:style w:type="character" w:customStyle="1" w:styleId="33">
    <w:name w:val="a-color-secondary"/>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1482</Words>
  <Characters>8451</Characters>
  <Lines>70</Lines>
  <Paragraphs>19</Paragraphs>
  <TotalTime>0</TotalTime>
  <ScaleCrop>false</ScaleCrop>
  <LinksUpToDate>false</LinksUpToDate>
  <CharactersWithSpaces>9914</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2020-06-17T09:51:00Z</dcterms:created>
  <dc:creator>Sandeep Chakravorty</dc:creator>
  <cp:lastModifiedBy>faculty</cp:lastModifiedBy>
  <cp:lastPrinted>2018-07-10T16:01:00Z</cp:lastPrinted>
  <dcterms:modified xsi:type="dcterms:W3CDTF">2020-06-20T10:19:37Z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