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Name of Faculty: Dr. Anokhi shah</w:t>
      </w:r>
    </w:p>
    <w:p/>
    <w:p>
      <w:pPr>
        <w:rPr>
          <w:rFonts w:ascii="Arial" w:hAnsi="Arial" w:cs="Arial"/>
          <w:b w:val="0"/>
          <w:bCs/>
        </w:rPr>
      </w:pPr>
      <w:r>
        <w:rPr>
          <w:rFonts w:ascii="Arial" w:hAnsi="Arial" w:cs="Arial"/>
          <w:b w:val="0"/>
          <w:bCs/>
        </w:rPr>
        <w:t>Pharmacovigilance-II</w:t>
      </w:r>
    </w:p>
    <w:p>
      <w:pPr>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Arial" w:hAnsi="Arial" w:cs="Arial"/>
          <w:b/>
        </w:rPr>
        <w:t>PCR0303</w:t>
      </w:r>
    </w:p>
    <w:p>
      <w:pPr>
        <w:rPr>
          <w:rFonts w:ascii="Arial" w:hAnsi="Arial" w:cs="Arial"/>
          <w:color w:val="0033CC"/>
          <w:sz w:val="22"/>
          <w:szCs w:val="22"/>
          <w:lang w:val="en-AU"/>
        </w:rPr>
      </w:pPr>
      <w:r>
        <w:rPr>
          <w:rFonts w:ascii="Arial" w:hAnsi="Arial" w:cs="Arial"/>
          <w:color w:val="0033CC"/>
          <w:lang w:val="en-AU"/>
        </w:rPr>
        <w:t>Course name:</w:t>
      </w:r>
      <w:r>
        <w:rPr>
          <w:b/>
          <w:color w:val="000000"/>
          <w:sz w:val="20"/>
          <w:szCs w:val="20"/>
          <w:lang w:eastAsia="en-IN"/>
        </w:rPr>
        <w:t xml:space="preserve"> </w:t>
      </w:r>
      <w:r>
        <w:rPr>
          <w:b/>
          <w:color w:val="000000"/>
          <w:sz w:val="22"/>
          <w:szCs w:val="22"/>
          <w:lang w:eastAsia="en-IN"/>
        </w:rPr>
        <w:t>Msc clinical Research</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4</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Dr. 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600"/>
        </w:tabs>
        <w:rPr>
          <w:rFonts w:ascii="Arial" w:hAnsi="Arial" w:cs="Arial"/>
          <w:lang w:val="en-AU"/>
        </w:rPr>
      </w:pPr>
      <w:r>
        <w:rPr>
          <w:rFonts w:ascii="Arial" w:hAnsi="Arial" w:cs="Arial"/>
          <w:lang w:val="en-AU"/>
        </w:rPr>
        <w:t>Telephone: 9974702063</w:t>
      </w:r>
      <w:r>
        <w:rPr>
          <w:rFonts w:ascii="Arial" w:hAnsi="Arial" w:cs="Arial"/>
          <w:lang w:val="en-AU"/>
        </w:rPr>
        <w:tab/>
      </w:r>
    </w:p>
    <w:p>
      <w:pPr>
        <w:pStyle w:val="3"/>
        <w:shd w:val="clear" w:color="auto" w:fill="FFFFFF"/>
        <w:spacing w:line="300" w:lineRule="atLeast"/>
        <w:ind w:left="0"/>
        <w:rPr>
          <w:rFonts w:cs="Arial"/>
          <w:b w:val="0"/>
          <w:color w:val="5F6368"/>
          <w:spacing w:val="5"/>
          <w:szCs w:val="24"/>
        </w:rPr>
      </w:pPr>
      <w:r>
        <w:rPr>
          <w:rFonts w:cs="Arial"/>
          <w:b w:val="0"/>
          <w:szCs w:val="24"/>
          <w:lang w:val="en-AU"/>
        </w:rPr>
        <w:t>Email:</w:t>
      </w:r>
      <w:r>
        <w:rPr>
          <w:rStyle w:val="16"/>
          <w:rFonts w:cs="Arial"/>
          <w:b w:val="0"/>
          <w:color w:val="555555"/>
          <w:spacing w:val="5"/>
          <w:szCs w:val="24"/>
          <w:u w:val="none"/>
        </w:rPr>
        <w:t>anokhishah.cr@indusuni.ac.in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name:Dr.Anokhi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498"/>
        </w:tabs>
        <w:rPr>
          <w:rFonts w:ascii="Arial" w:hAnsi="Arial" w:cs="Arial"/>
          <w:lang w:val="en-AU"/>
        </w:rPr>
      </w:pPr>
      <w:r>
        <w:rPr>
          <w:rFonts w:ascii="Arial" w:hAnsi="Arial" w:cs="Arial"/>
          <w:lang w:val="en-AU"/>
        </w:rPr>
        <w:t>Telephone: 9974702063</w:t>
      </w:r>
      <w:r>
        <w:rPr>
          <w:rFonts w:ascii="Arial" w:hAnsi="Arial" w:cs="Arial"/>
          <w:lang w:val="en-AU"/>
        </w:rPr>
        <w:tab/>
      </w:r>
    </w:p>
    <w:p>
      <w:pPr>
        <w:rPr>
          <w:rFonts w:ascii="Arial" w:hAnsi="Arial" w:cs="Arial"/>
        </w:rPr>
      </w:pPr>
      <w:r>
        <w:rPr>
          <w:rFonts w:ascii="Arial" w:hAnsi="Arial" w:cs="Arial"/>
          <w:lang w:val="en-AU"/>
        </w:rPr>
        <w:t>Email:</w:t>
      </w:r>
      <w:r>
        <w:rPr>
          <w:rFonts w:ascii="Arial" w:hAnsi="Arial" w:cs="Arial"/>
        </w:rPr>
        <w:t>Anokhishah.cr@indusuni.ac.in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rPr>
          <w:rFonts w:ascii="Arial" w:hAnsi="Arial" w:cs="Arial"/>
          <w:color w:val="000000" w:themeColor="text1"/>
          <w14:textFill>
            <w14:solidFill>
              <w14:schemeClr w14:val="tx1"/>
            </w14:solidFill>
          </w14:textFill>
        </w:rPr>
      </w:pPr>
      <w:r>
        <w:rPr>
          <w:rFonts w:ascii="Arial" w:hAnsi="Arial" w:cs="Arial"/>
          <w:color w:val="000000"/>
        </w:rPr>
        <w:t xml:space="preserve"> To learn about Advance in</w:t>
      </w:r>
      <w:r>
        <w:rPr>
          <w:rFonts w:ascii="Arial" w:hAnsi="Arial" w:cs="Arial"/>
          <w:color w:val="000000" w:themeColor="text1"/>
          <w:lang w:val="en-AU"/>
          <w14:textFill>
            <w14:solidFill>
              <w14:schemeClr w14:val="tx1"/>
            </w14:solidFill>
          </w14:textFill>
        </w:rPr>
        <w:t>clinical data management</w:t>
      </w:r>
      <w:r>
        <w:rPr>
          <w:rFonts w:ascii="Arial" w:hAnsi="Arial" w:cs="Arial"/>
          <w:color w:val="000000" w:themeColor="text1"/>
          <w14:textFill>
            <w14:solidFill>
              <w14:schemeClr w14:val="tx1"/>
            </w14:solidFill>
          </w14:textFill>
        </w:rPr>
        <w:t>applications.</w:t>
      </w:r>
    </w:p>
    <w:p>
      <w:pPr>
        <w:rPr>
          <w:rFonts w:ascii="Arial" w:hAnsi="Arial" w:cs="Arial"/>
        </w:rPr>
      </w:pPr>
    </w:p>
    <w:p>
      <w:pPr>
        <w:rPr>
          <w:rFonts w:ascii="Arial" w:hAnsi="Arial" w:cs="Arial"/>
          <w:color w:val="4F81BD" w:themeColor="accent1"/>
          <w14:textFill>
            <w14:solidFill>
              <w14:schemeClr w14:val="accent1"/>
            </w14:solidFill>
          </w14:textFill>
        </w:rPr>
      </w:pPr>
      <w:r>
        <w:rPr>
          <w:rFonts w:ascii="Arial" w:hAnsi="Arial" w:cs="Arial"/>
          <w:color w:val="4F81BD" w:themeColor="accent1"/>
          <w14:textFill>
            <w14:solidFill>
              <w14:schemeClr w14:val="accent1"/>
            </w14:solidFill>
          </w14:textFill>
        </w:rPr>
        <w:t>Course Outcomes (CO)</w:t>
      </w:r>
    </w:p>
    <w:p>
      <w:pPr>
        <w:rPr>
          <w:rFonts w:ascii="Arial" w:hAnsi="Arial" w:cs="Arial"/>
        </w:rPr>
      </w:pPr>
      <w:r>
        <w:rPr>
          <w:rFonts w:ascii="Arial" w:hAnsi="Arial" w:cs="Arial"/>
        </w:rPr>
        <w:t>After successful completion of course, student will able to understand,</w:t>
      </w:r>
    </w:p>
    <w:p>
      <w:pPr>
        <w:widowControl w:val="0"/>
        <w:numPr>
          <w:ilvl w:val="0"/>
          <w:numId w:val="1"/>
        </w:numPr>
        <w:suppressAutoHyphens/>
        <w:jc w:val="both"/>
        <w:rPr>
          <w:color w:val="000000"/>
          <w:sz w:val="22"/>
          <w:szCs w:val="22"/>
        </w:rPr>
      </w:pPr>
      <w:r>
        <w:rPr>
          <w:color w:val="000000"/>
          <w:sz w:val="22"/>
          <w:szCs w:val="22"/>
        </w:rPr>
        <w:t xml:space="preserve">Pharmacovigilance and its work processes. </w:t>
      </w:r>
    </w:p>
    <w:p>
      <w:pPr>
        <w:widowControl w:val="0"/>
        <w:numPr>
          <w:ilvl w:val="0"/>
          <w:numId w:val="1"/>
        </w:numPr>
        <w:suppressAutoHyphens/>
        <w:jc w:val="both"/>
        <w:rPr>
          <w:color w:val="000000"/>
          <w:sz w:val="22"/>
          <w:szCs w:val="22"/>
        </w:rPr>
      </w:pPr>
      <w:r>
        <w:rPr>
          <w:color w:val="000000"/>
          <w:sz w:val="22"/>
          <w:szCs w:val="22"/>
        </w:rPr>
        <w:t>Signal detection methods, case processing, safety data collection tools</w:t>
      </w:r>
    </w:p>
    <w:p>
      <w:pPr>
        <w:widowControl w:val="0"/>
        <w:numPr>
          <w:ilvl w:val="0"/>
          <w:numId w:val="1"/>
        </w:numPr>
        <w:suppressAutoHyphens/>
        <w:jc w:val="both"/>
        <w:rPr>
          <w:color w:val="000000"/>
          <w:sz w:val="22"/>
          <w:szCs w:val="22"/>
        </w:rPr>
      </w:pPr>
      <w:r>
        <w:rPr>
          <w:color w:val="000000"/>
          <w:sz w:val="22"/>
          <w:szCs w:val="22"/>
        </w:rPr>
        <w:t>Medical Dictionaries used in Clinical Research.</w:t>
      </w: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jc w:val="both"/>
      </w:pPr>
      <w:r>
        <w:rPr>
          <w:rFonts w:ascii="Arial" w:hAnsi="Arial" w:cs="Arial"/>
        </w:rPr>
        <w:t>Course Outline</w:t>
      </w:r>
    </w:p>
    <w:p>
      <w:pPr>
        <w:rPr>
          <w:rFonts w:ascii="Arial" w:hAnsi="Arial" w:cs="Arial"/>
        </w:rPr>
      </w:pPr>
      <w:r>
        <w:rPr>
          <w:rFonts w:ascii="Arial" w:hAnsi="Arial" w:cs="Arial"/>
        </w:rPr>
        <w:t>(Key in topics to be dealt)</w:t>
      </w:r>
    </w:p>
    <w:p>
      <w:pPr>
        <w:pStyle w:val="22"/>
        <w:spacing w:after="0"/>
        <w:ind w:left="0"/>
        <w:rPr>
          <w:rFonts w:ascii="Times New Roman" w:hAnsi="Times New Roman"/>
          <w:color w:val="000000"/>
          <w:sz w:val="22"/>
          <w:szCs w:val="22"/>
        </w:rPr>
      </w:pPr>
      <w:r>
        <w:rPr>
          <w:rFonts w:ascii="Times New Roman" w:hAnsi="Times New Roman"/>
          <w:b w:val="0"/>
          <w:bCs w:val="0"/>
          <w:color w:val="000000"/>
          <w:sz w:val="22"/>
          <w:szCs w:val="22"/>
        </w:rPr>
        <w:t>Course Content</w:t>
      </w:r>
      <w:r>
        <w:rPr>
          <w:rFonts w:ascii="Times New Roman" w:hAnsi="Times New Roman"/>
          <w:b/>
          <w:bCs/>
          <w:color w:val="000000"/>
          <w:sz w:val="22"/>
          <w:szCs w:val="22"/>
        </w:rPr>
        <w:t>:</w:t>
      </w: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UNIT 1: OVERVIEW ON PHARMACOVIGILANCE</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Introduction to Pharmacovigilance, Key Definitions in Pharmacovigilance, Pharmacovigilance Historical Perspective, Pharmacovigilance need and Objectives, Pharmacovigilance and Pharmacogenetics, Current methods in Pharmacovigilance. Adverse drug reactions and SAE criteria, Post Marketing Surveillance. </w:t>
      </w:r>
    </w:p>
    <w:p>
      <w:pPr>
        <w:suppressAutoHyphens w:val="0"/>
        <w:autoSpaceDE w:val="0"/>
        <w:autoSpaceDN w:val="0"/>
        <w:adjustRightInd w:val="0"/>
        <w:rPr>
          <w:rFonts w:ascii="Times New Roman" w:hAnsi="Times New Roman" w:cs="Times New Roman"/>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2: SIGNAL DETECTION IN PHARMACOVIGILANCE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Signal generation, Signal Strengthening, Signal testing, Evaluation and Explanation, Sources and methods of signal detection, Spontaneous reporting system, Intensive Hospital- Based drug surveillance system, Prescription event monitoring, Case reports in literature, Epidemiology studies, Role of national pharmacovigilance centers in signal detection, automated quantitative signal detection, WHO adverse drug reaction database-VIGIBASE, application of quantitative methods for signal detection, Bayesian confidence propagation neural network (BCPNN), Measures of Disproportionality in technical terms, the UMC signalling process, WHO and UMC’s leadership in signal detection.</w:t>
      </w:r>
    </w:p>
    <w:p>
      <w:pPr>
        <w:suppressAutoHyphens w:val="0"/>
        <w:autoSpaceDE w:val="0"/>
        <w:autoSpaceDN w:val="0"/>
        <w:adjustRightInd w:val="0"/>
        <w:rPr>
          <w:rFonts w:ascii="Times New Roman" w:hAnsi="Times New Roman" w:cs="Times New Roman"/>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UNIT 3: ADVERSE DRUG REACTIONS</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Adverse event, Adverse drug reaction, Importance of adverse drug reactions, Pharmacological Classification- Type A, B, C, D, E, F, Causality Classification (WHO-UMC Classification), Severity Classification, Seriousness Classification, Frequency Classification, Mechanism Classification, Statistical Classification, Mechanism of Adverse drug reactions- Type A reactions, Type B reactions. Adverse drug interactions, Classification of Adverse Drug interactions- Pharmacodynamic interactions, Pharmacokinetic Interactions and Pharmaceutical Interactions. </w:t>
      </w:r>
    </w:p>
    <w:p>
      <w:pPr>
        <w:suppressAutoHyphens w:val="0"/>
        <w:autoSpaceDE w:val="0"/>
        <w:autoSpaceDN w:val="0"/>
        <w:adjustRightInd w:val="0"/>
        <w:jc w:val="both"/>
        <w:rPr>
          <w:rFonts w:ascii="Times New Roman" w:hAnsi="Times New Roman" w:cs="Times New Roman"/>
          <w:color w:val="000000"/>
          <w:sz w:val="22"/>
          <w:szCs w:val="22"/>
        </w:rPr>
      </w:pP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UNIT 4: CASE PROCESSING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Adverse event case processing- Introduction, Sources of individual case safety reports- Unsolicited sources, Solicited sources, Contractual Agreements, Regulatory authority as the sources, Criteria for reporting, Good adverse events Case processing practices- assessing patient and reporter identifiability, Consent and data privacy, efficient handling of adverse events data, Case processing principles, workflow in adverse events case processing operations.</w:t>
      </w:r>
    </w:p>
    <w:p>
      <w:pPr>
        <w:suppressAutoHyphens w:val="0"/>
        <w:autoSpaceDE w:val="0"/>
        <w:autoSpaceDN w:val="0"/>
        <w:adjustRightInd w:val="0"/>
        <w:rPr>
          <w:rFonts w:ascii="Times New Roman" w:hAnsi="Times New Roman" w:cs="Times New Roman"/>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5: PROCESSES AND REGULATIONS IN PHARMACOVIGILANCE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Benefits risk assessment in Pharmacovigilance, MedDRA- overview, objectives of MedDRA, Applications of MedDRA, Regulatory status/Historical Overview, Medra structure, Lowest Level Term (LLT), High Level Term (HLT), Preferred Term (PT), System Organ Class (SOC), MedDRA rules, Criteria for term selection, Standardized MedDRA queries (SMQS), MedDRA and SMQ in signal detection. Pharmacovigilance regulations in various Countries-Europe, United Kingdom, France, Brazil, India, China, Japan, Australia, Canada, and USA, WHO Pharmacovigilance Programme for Global monitoring, Pharmacovigilance of Herbal drugs, Crisis management </w:t>
      </w:r>
    </w:p>
    <w:p>
      <w:pPr>
        <w:suppressAutoHyphens w:val="0"/>
        <w:autoSpaceDE w:val="0"/>
        <w:autoSpaceDN w:val="0"/>
        <w:adjustRightInd w:val="0"/>
        <w:rPr>
          <w:rFonts w:ascii="Times New Roman" w:hAnsi="Times New Roman" w:cs="Times New Roman"/>
          <w:color w:val="000000"/>
          <w:sz w:val="22"/>
          <w:szCs w:val="22"/>
        </w:rPr>
      </w:pPr>
    </w:p>
    <w:p>
      <w:pPr>
        <w:rPr>
          <w:rFonts w:ascii="Arial" w:hAnsi="Arial" w:cs="Arial"/>
        </w:rPr>
      </w:pPr>
    </w:p>
    <w:p>
      <w:pPr>
        <w:rPr>
          <w:rFonts w:ascii="Arial" w:hAnsi="Arial" w:cs="Arial"/>
        </w:rPr>
      </w:pP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4</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Pr>
        <w:pStyle w:val="2"/>
        <w:rPr>
          <w:rFonts w:ascii="Arial" w:hAnsi="Arial" w:cs="Arial"/>
          <w:sz w:val="24"/>
          <w:szCs w:val="24"/>
        </w:rPr>
      </w:pPr>
      <w:r>
        <w:rPr>
          <w:rFonts w:ascii="Arial" w:hAnsi="Arial" w:cs="Arial"/>
          <w:sz w:val="24"/>
          <w:szCs w:val="24"/>
        </w:rPr>
        <w:t>Blooms Taxonomy</w:t>
      </w:r>
      <w:r>
        <w:rPr>
          <w:rFonts w:hint="default" w:ascii="Arial" w:hAnsi="Arial" w:cs="Arial"/>
          <w:sz w:val="24"/>
          <w:szCs w:val="24"/>
          <w:lang w:val="en"/>
        </w:rPr>
        <w:t xml:space="preserve"> </w:t>
      </w:r>
      <w:r>
        <w:rPr>
          <w:rFonts w:ascii="Arial" w:hAnsi="Arial" w:cs="Arial"/>
          <w:sz w:val="24"/>
          <w:szCs w:val="24"/>
        </w:rPr>
        <w:t>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Student will be able to learn regarding different application of clinical Data management, startup phase and process of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data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733425"/>
                <wp:effectExtent l="5080" t="4445" r="22860" b="5080"/>
                <wp:wrapNone/>
                <wp:docPr id="1" name="Text Box 2"/>
                <wp:cNvGraphicFramePr/>
                <a:graphic xmlns:a="http://schemas.openxmlformats.org/drawingml/2006/main">
                  <a:graphicData uri="http://schemas.microsoft.com/office/word/2010/wordprocessingShape">
                    <wps:wsp>
                      <wps:cNvSpPr txBox="1"/>
                      <wps:spPr>
                        <a:xfrm>
                          <a:off x="0" y="0"/>
                          <a:ext cx="6487160" cy="7334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wps:txbx>
                      <wps:bodyPr upright="1"/>
                    </wps:wsp>
                  </a:graphicData>
                </a:graphic>
              </wp:anchor>
            </w:drawing>
          </mc:Choice>
          <mc:Fallback>
            <w:pict>
              <v:shape id="Text Box 2" o:spid="_x0000_s1026" o:spt="202" type="#_x0000_t202" style="position:absolute;left:0pt;margin-left:0.3pt;margin-top:11.2pt;height:57.75pt;width:510.8pt;z-index:251659264;mso-width-relative:page;mso-height-relative:page;" fillcolor="#FFFFFF" filled="t" stroked="t" coordsize="21600,21600" o:gfxdata="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kZDX9UAAAAIAQAADwAAAAAAAAABACAAAAA4AAAAZHJzL2Rvd25yZXYueG1sUEsBAhQA&#10;FAAAAAgAh07iQMvGojTfAQAA5wMAAA4AAAAAAAAAAQAgAAAAOgEAAGRycy9lMm9Eb2MueG1sUEsF&#10;BgAAAAAGAAYAWQEAAIsFA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
      <w:pPr>
        <w:pStyle w:val="22"/>
        <w:numPr>
          <w:numId w:val="0"/>
        </w:numPr>
        <w:autoSpaceDE w:val="0"/>
        <w:autoSpaceDN w:val="0"/>
        <w:adjustRightInd w:val="0"/>
        <w:spacing w:after="0" w:line="240" w:lineRule="auto"/>
        <w:rPr>
          <w:rFonts w:ascii="Times New Roman" w:hAnsi="Times New Roman"/>
          <w:color w:val="000000"/>
          <w:sz w:val="22"/>
          <w:szCs w:val="22"/>
        </w:rPr>
      </w:pPr>
      <w:r>
        <w:rPr>
          <w:rFonts w:ascii="Times New Roman" w:hAnsi="Times New Roman"/>
          <w:color w:val="000000"/>
          <w:sz w:val="22"/>
          <w:szCs w:val="22"/>
        </w:rPr>
        <w:t>Mind maps of Pharmacovigilance Basics- Amrita Akhouri, 2015 edition.</w:t>
      </w:r>
    </w:p>
    <w:p>
      <w:pPr>
        <w:pStyle w:val="2"/>
        <w:tabs>
          <w:tab w:val="left" w:pos="2941"/>
        </w:tabs>
        <w:rPr>
          <w:rFonts w:ascii="Arial" w:hAnsi="Arial" w:cs="Arial"/>
          <w:sz w:val="24"/>
          <w:szCs w:val="24"/>
          <w:lang w:val="en-AU"/>
        </w:rPr>
      </w:pPr>
      <w:r>
        <w:rPr>
          <w:rFonts w:ascii="Arial" w:hAnsi="Arial" w:cs="Arial"/>
          <w:sz w:val="24"/>
          <w:szCs w:val="24"/>
          <w:lang w:val="en-AU"/>
        </w:rPr>
        <w:t>Text books</w:t>
      </w:r>
    </w:p>
    <w:p>
      <w:pPr>
        <w:pStyle w:val="22"/>
        <w:numPr>
          <w:numId w:val="0"/>
        </w:numPr>
        <w:autoSpaceDE w:val="0"/>
        <w:autoSpaceDN w:val="0"/>
        <w:adjustRightInd w:val="0"/>
        <w:spacing w:after="0" w:line="240" w:lineRule="auto"/>
        <w:rPr>
          <w:rFonts w:ascii="Arial" w:hAnsi="Arial" w:cs="Arial"/>
          <w:sz w:val="24"/>
          <w:szCs w:val="24"/>
          <w:lang w:val="en-AU"/>
        </w:rPr>
      </w:pPr>
      <w:bookmarkStart w:id="0" w:name="_GoBack"/>
      <w:bookmarkEnd w:id="0"/>
      <w:r>
        <w:rPr>
          <w:rFonts w:ascii="Times New Roman" w:hAnsi="Times New Roman"/>
          <w:color w:val="000000"/>
          <w:sz w:val="22"/>
          <w:szCs w:val="22"/>
        </w:rPr>
        <w:t>Highlights of Pharmacovigilance – P.G Yeolo ,DhanalakshmiIyer, 2013 edition.</w:t>
      </w:r>
      <w:r>
        <w:rPr>
          <w:rFonts w:ascii="Arial" w:hAnsi="Arial" w:cs="Arial"/>
          <w:sz w:val="24"/>
          <w:szCs w:val="24"/>
          <w:lang w:val="en-AU"/>
        </w:rPr>
        <w:tab/>
      </w:r>
    </w:p>
    <w:p>
      <w:pPr>
        <w:jc w:val="both"/>
        <w:rPr>
          <w:rFonts w:ascii="Arial" w:hAnsi="Arial" w:cs="Arial"/>
          <w:bCs/>
          <w:lang w:val="en-AU"/>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24"/>
        <w:gridCol w:w="978"/>
        <w:gridCol w:w="846"/>
        <w:gridCol w:w="1313"/>
        <w:gridCol w:w="1313"/>
        <w:gridCol w:w="1200"/>
        <w:gridCol w:w="1200"/>
        <w:gridCol w:w="5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Subject : Pharmacovigilance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1" w:type="dxa"/>
            <w:gridSpan w:val="3"/>
            <w:noWrap w:val="0"/>
            <w:vAlign w:val="top"/>
          </w:tcPr>
          <w:p>
            <w:pPr>
              <w:pStyle w:val="28"/>
              <w:rPr>
                <w:rFonts w:ascii="Times New Roman" w:hAnsi="Times New Roman" w:eastAsia="MS Mincho"/>
                <w:b w:val="0"/>
                <w:bCs/>
                <w:color w:val="000000"/>
              </w:rPr>
            </w:pPr>
            <w:r>
              <w:rPr>
                <w:rFonts w:ascii="Times New Roman" w:hAnsi="Times New Roman" w:eastAsia="MS Mincho"/>
                <w:b w:val="0"/>
                <w:bCs/>
                <w:color w:val="000000"/>
              </w:rPr>
              <w:t xml:space="preserve">Program : M.Sc. Clinical Research </w:t>
            </w:r>
          </w:p>
        </w:tc>
        <w:tc>
          <w:tcPr>
            <w:tcW w:w="3472" w:type="dxa"/>
            <w:gridSpan w:val="3"/>
            <w:noWrap w:val="0"/>
            <w:vAlign w:val="top"/>
          </w:tcPr>
          <w:p>
            <w:pPr>
              <w:pStyle w:val="28"/>
              <w:rPr>
                <w:rFonts w:ascii="Times New Roman" w:hAnsi="Times New Roman" w:eastAsia="MS Mincho"/>
                <w:b w:val="0"/>
                <w:bCs/>
                <w:color w:val="000000"/>
              </w:rPr>
            </w:pPr>
            <w:r>
              <w:rPr>
                <w:rFonts w:ascii="Times New Roman" w:hAnsi="Times New Roman" w:eastAsia="MS Mincho"/>
                <w:b w:val="0"/>
                <w:bCs/>
                <w:color w:val="000000"/>
              </w:rPr>
              <w:t>Subject Code :PCR0303</w:t>
            </w:r>
          </w:p>
        </w:tc>
        <w:tc>
          <w:tcPr>
            <w:tcW w:w="3090" w:type="dxa"/>
            <w:gridSpan w:val="4"/>
            <w:noWrap w:val="0"/>
            <w:vAlign w:val="top"/>
          </w:tcPr>
          <w:p>
            <w:pPr>
              <w:pStyle w:val="28"/>
              <w:rPr>
                <w:rFonts w:ascii="Times New Roman" w:hAnsi="Times New Roman" w:eastAsia="MS Mincho"/>
                <w:b w:val="0"/>
                <w:bCs/>
                <w:color w:val="000000"/>
              </w:rPr>
            </w:pPr>
            <w:r>
              <w:rPr>
                <w:rFonts w:ascii="Times New Roman" w:hAnsi="Times New Roman" w:eastAsia="MS Mincho"/>
                <w:b w:val="0"/>
                <w:bCs/>
                <w:color w:val="000000"/>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rPr>
                <w:rFonts w:ascii="Times New Roman" w:hAnsi="Times New Roman" w:eastAsia="MS Mincho"/>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81" w:type="dxa"/>
            <w:gridSpan w:val="3"/>
            <w:noWrap w:val="0"/>
            <w:vAlign w:val="top"/>
          </w:tcPr>
          <w:p>
            <w:pPr>
              <w:pStyle w:val="28"/>
              <w:rPr>
                <w:rFonts w:ascii="Times New Roman" w:hAnsi="Times New Roman" w:eastAsia="MS Mincho"/>
                <w:b w:val="0"/>
                <w:bCs/>
                <w:color w:val="000000"/>
              </w:rPr>
            </w:pPr>
            <w:r>
              <w:rPr>
                <w:rFonts w:ascii="Times New Roman" w:hAnsi="Times New Roman" w:eastAsia="MS Mincho"/>
                <w:b w:val="0"/>
                <w:bCs/>
                <w:color w:val="000000"/>
              </w:rPr>
              <w:t>Teaching Scheme</w:t>
            </w:r>
          </w:p>
        </w:tc>
        <w:tc>
          <w:tcPr>
            <w:tcW w:w="5925" w:type="dxa"/>
            <w:gridSpan w:val="6"/>
            <w:noWrap w:val="0"/>
            <w:vAlign w:val="top"/>
          </w:tcPr>
          <w:p>
            <w:pPr>
              <w:pStyle w:val="28"/>
              <w:rPr>
                <w:rFonts w:ascii="Times New Roman" w:hAnsi="Times New Roman" w:eastAsia="MS Mincho"/>
                <w:b w:val="0"/>
                <w:bCs/>
                <w:color w:val="000000"/>
              </w:rPr>
            </w:pPr>
            <w:r>
              <w:rPr>
                <w:rFonts w:ascii="Times New Roman" w:hAnsi="Times New Roman" w:eastAsia="MS Mincho"/>
                <w:b w:val="0"/>
                <w:bCs/>
                <w:color w:val="000000"/>
              </w:rPr>
              <w:t>Examination Evaluation Scheme</w:t>
            </w:r>
          </w:p>
        </w:tc>
        <w:tc>
          <w:tcPr>
            <w:tcW w:w="637" w:type="dxa"/>
            <w:noWrap w:val="0"/>
            <w:vAlign w:val="top"/>
          </w:tcPr>
          <w:p>
            <w:pPr>
              <w:pStyle w:val="28"/>
              <w:rPr>
                <w:rFonts w:ascii="Times New Roman" w:hAnsi="Times New Roman" w:eastAsia="MS Mincho"/>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Lecture</w:t>
            </w:r>
          </w:p>
        </w:tc>
        <w:tc>
          <w:tcPr>
            <w:tcW w:w="924"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Tutorial</w:t>
            </w:r>
          </w:p>
        </w:tc>
        <w:tc>
          <w:tcPr>
            <w:tcW w:w="978"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Practical</w:t>
            </w:r>
          </w:p>
        </w:tc>
        <w:tc>
          <w:tcPr>
            <w:tcW w:w="846"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Credits</w:t>
            </w:r>
          </w:p>
        </w:tc>
        <w:tc>
          <w:tcPr>
            <w:tcW w:w="1313"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University Theory Examination</w:t>
            </w:r>
          </w:p>
        </w:tc>
        <w:tc>
          <w:tcPr>
            <w:tcW w:w="1313"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University Practical Examination</w:t>
            </w:r>
          </w:p>
        </w:tc>
        <w:tc>
          <w:tcPr>
            <w:tcW w:w="1200"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Continuous Internal Evaluation (CIE)- Theory</w:t>
            </w:r>
          </w:p>
        </w:tc>
        <w:tc>
          <w:tcPr>
            <w:tcW w:w="1200" w:type="dxa"/>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Continuous Internal Evaluation (CIE) - Practical</w:t>
            </w:r>
          </w:p>
        </w:tc>
        <w:tc>
          <w:tcPr>
            <w:tcW w:w="690" w:type="dxa"/>
            <w:gridSpan w:val="2"/>
            <w:noWrap w:val="0"/>
            <w:vAlign w:val="top"/>
          </w:tcPr>
          <w:p>
            <w:pPr>
              <w:pStyle w:val="28"/>
              <w:ind w:left="-57" w:right="-57"/>
              <w:rPr>
                <w:rFonts w:ascii="Times New Roman" w:hAnsi="Times New Roman" w:eastAsia="MS Mincho"/>
                <w:b w:val="0"/>
                <w:bCs/>
                <w:color w:val="000000"/>
              </w:rPr>
            </w:pPr>
            <w:r>
              <w:rPr>
                <w:rFonts w:ascii="Times New Roman" w:hAnsi="Times New Roman" w:eastAsia="MS Mincho"/>
                <w:b w:val="0"/>
                <w:bCs/>
                <w:color w:val="00000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4</w:t>
            </w:r>
          </w:p>
        </w:tc>
        <w:tc>
          <w:tcPr>
            <w:tcW w:w="924"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0</w:t>
            </w:r>
          </w:p>
        </w:tc>
        <w:tc>
          <w:tcPr>
            <w:tcW w:w="978"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0</w:t>
            </w:r>
          </w:p>
        </w:tc>
        <w:tc>
          <w:tcPr>
            <w:tcW w:w="846"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4</w:t>
            </w:r>
          </w:p>
        </w:tc>
        <w:tc>
          <w:tcPr>
            <w:tcW w:w="1313"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40</w:t>
            </w:r>
          </w:p>
        </w:tc>
        <w:tc>
          <w:tcPr>
            <w:tcW w:w="1313" w:type="dxa"/>
            <w:noWrap w:val="0"/>
            <w:vAlign w:val="top"/>
          </w:tcPr>
          <w:p>
            <w:pPr>
              <w:pStyle w:val="28"/>
              <w:jc w:val="center"/>
              <w:rPr>
                <w:rFonts w:ascii="Times New Roman" w:hAnsi="Times New Roman" w:eastAsia="MS Mincho"/>
                <w:b w:val="0"/>
                <w:bCs/>
                <w:color w:val="000000"/>
              </w:rPr>
            </w:pPr>
          </w:p>
        </w:tc>
        <w:tc>
          <w:tcPr>
            <w:tcW w:w="1200" w:type="dxa"/>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60</w:t>
            </w:r>
          </w:p>
        </w:tc>
        <w:tc>
          <w:tcPr>
            <w:tcW w:w="1200" w:type="dxa"/>
            <w:noWrap w:val="0"/>
            <w:vAlign w:val="top"/>
          </w:tcPr>
          <w:p>
            <w:pPr>
              <w:pStyle w:val="28"/>
              <w:jc w:val="center"/>
              <w:rPr>
                <w:rFonts w:ascii="Times New Roman" w:hAnsi="Times New Roman" w:eastAsia="MS Mincho"/>
                <w:b w:val="0"/>
                <w:bCs/>
                <w:color w:val="000000"/>
              </w:rPr>
            </w:pPr>
          </w:p>
        </w:tc>
        <w:tc>
          <w:tcPr>
            <w:tcW w:w="690" w:type="dxa"/>
            <w:gridSpan w:val="2"/>
            <w:noWrap w:val="0"/>
            <w:vAlign w:val="top"/>
          </w:tcPr>
          <w:p>
            <w:pPr>
              <w:pStyle w:val="28"/>
              <w:jc w:val="center"/>
              <w:rPr>
                <w:rFonts w:ascii="Times New Roman" w:hAnsi="Times New Roman" w:eastAsia="MS Mincho"/>
                <w:b w:val="0"/>
                <w:bCs/>
                <w:color w:val="000000"/>
              </w:rPr>
            </w:pPr>
            <w:r>
              <w:rPr>
                <w:rFonts w:ascii="Times New Roman" w:hAnsi="Times New Roman" w:eastAsia="MS Mincho"/>
                <w:b w:val="0"/>
                <w:bCs/>
                <w:color w:val="000000"/>
              </w:rPr>
              <w:t>100</w:t>
            </w:r>
          </w:p>
        </w:tc>
      </w:tr>
    </w:tbl>
    <w:p>
      <w:pPr>
        <w:jc w:val="both"/>
        <w:rPr>
          <w:rFonts w:ascii="Arial" w:hAnsi="Arial" w:cs="Arial"/>
          <w:b w:val="0"/>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pStyle w:val="2"/>
        <w:rPr>
          <w:rFonts w:ascii="Arial" w:hAnsi="Arial" w:cs="Arial"/>
          <w:sz w:val="24"/>
          <w:szCs w:val="24"/>
          <w:lang w:val="en-AU"/>
        </w:rPr>
      </w:pPr>
      <w:r>
        <w:rPr>
          <w:rFonts w:ascii="Arial" w:hAnsi="Arial" w:cs="Arial"/>
          <w:sz w:val="24"/>
          <w:szCs w:val="24"/>
          <w:lang w:val="en-AU"/>
        </w:rPr>
        <w:t>SUPPLEMENTARY ASSESSMENT</w:t>
      </w:r>
    </w:p>
    <w:p>
      <w:pPr>
        <w:rPr>
          <w:sz w:val="24"/>
          <w:szCs w:val="24"/>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color w:val="000000"/>
                <w:sz w:val="22"/>
                <w:szCs w:val="22"/>
              </w:rPr>
              <w:t>Introduction to Pharmacovigilance</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color w:val="000000"/>
                <w:sz w:val="22"/>
                <w:szCs w:val="22"/>
              </w:rPr>
              <w:t>Key Definitions in Pharmacovigilance, Pharmacovigilance Historical Perspective,</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i/>
              </w:rPr>
            </w:pPr>
            <w:r>
              <w:rPr>
                <w:color w:val="000000"/>
                <w:sz w:val="22"/>
                <w:szCs w:val="22"/>
              </w:rPr>
              <w:t xml:space="preserve">Current methods in Pharmacovigilance. Adverse drug reactions and SAE criteria, Post Marketing Surveillance. </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cs="Times New Roman"/>
                <w:color w:val="000000"/>
                <w:sz w:val="22"/>
                <w:szCs w:val="22"/>
              </w:rPr>
              <w:t>centers in signal detection, automated quantitative signal detection</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autoSpaceDE w:val="0"/>
              <w:autoSpaceDN w:val="0"/>
              <w:adjustRightInd w:val="0"/>
              <w:jc w:val="both"/>
              <w:rPr>
                <w:color w:val="000000"/>
                <w:sz w:val="22"/>
                <w:szCs w:val="22"/>
              </w:rPr>
            </w:pPr>
          </w:p>
          <w:p>
            <w:pPr>
              <w:rPr>
                <w:rFonts w:ascii="Arial" w:hAnsi="Arial" w:cs="Arial"/>
              </w:rPr>
            </w:pPr>
            <w:r>
              <w:rPr>
                <w:rFonts w:ascii="Times New Roman" w:hAnsi="Times New Roman" w:cs="Times New Roman"/>
                <w:color w:val="000000"/>
                <w:sz w:val="22"/>
                <w:szCs w:val="22"/>
              </w:rPr>
              <w:t>WHO adverse drug reaction database-VIGIBASE, application of quantitative methods for signal detection</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hint="default" w:ascii="Times New Roman" w:hAnsi="Times New Roman" w:cs="Times New Roman"/>
                <w:color w:val="000000"/>
                <w:sz w:val="22"/>
                <w:szCs w:val="22"/>
                <w:lang w:val="en"/>
              </w:rPr>
              <w:t>A</w:t>
            </w:r>
            <w:r>
              <w:rPr>
                <w:rFonts w:ascii="Times New Roman" w:hAnsi="Times New Roman" w:cs="Times New Roman"/>
                <w:color w:val="000000"/>
                <w:sz w:val="22"/>
                <w:szCs w:val="22"/>
              </w:rPr>
              <w:t>dverse event, Adverse drug reaction, Importance of adverse drug reactions, Pharmacological Classification- Type A, B, C, D, E, F</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hint="default" w:ascii="Times New Roman" w:hAnsi="Times New Roman" w:cs="Times New Roman"/>
                <w:color w:val="000000"/>
                <w:sz w:val="22"/>
                <w:szCs w:val="22"/>
                <w:lang w:val="en"/>
              </w:rPr>
              <w:t>A</w:t>
            </w:r>
            <w:r>
              <w:rPr>
                <w:rFonts w:ascii="Times New Roman" w:hAnsi="Times New Roman" w:cs="Times New Roman"/>
                <w:color w:val="000000"/>
                <w:sz w:val="22"/>
                <w:szCs w:val="22"/>
              </w:rPr>
              <w:t xml:space="preserve">dverse event case processing- Introduction, Sources of individual case safety reports- </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color w:val="000000"/>
                <w:sz w:val="22"/>
                <w:szCs w:val="22"/>
              </w:rPr>
              <w:t>Consent and data privacy,</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i/>
              </w:rPr>
            </w:pPr>
            <w:r>
              <w:rPr>
                <w:rFonts w:ascii="Times New Roman" w:hAnsi="Times New Roman" w:cs="Times New Roman"/>
                <w:color w:val="000000"/>
                <w:sz w:val="22"/>
                <w:szCs w:val="22"/>
              </w:rPr>
              <w:t>Benefits risk assessment in Pharmacovigilance</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color w:val="000000"/>
                <w:sz w:val="22"/>
                <w:szCs w:val="22"/>
              </w:rPr>
              <w:t>Regulatory status/Historical Overview, Medra structure, Lowest Level Term (LLT), High Level Term (HLT), Preferred Term (PT), System Organ Class (SOC</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suppressAutoHyphens w:val="0"/>
              <w:autoSpaceDE w:val="0"/>
              <w:autoSpaceDN w:val="0"/>
              <w:adjustRightInd w:val="0"/>
              <w:jc w:val="both"/>
              <w:rPr>
                <w:rFonts w:ascii="Arial" w:hAnsi="Arial" w:cs="Arial"/>
                <w:color w:val="0000CC"/>
              </w:rPr>
            </w:pPr>
            <w:r>
              <w:rPr>
                <w:rFonts w:ascii="Times New Roman" w:hAnsi="Times New Roman" w:cs="Times New Roman"/>
                <w:color w:val="000000"/>
                <w:sz w:val="22"/>
                <w:szCs w:val="22"/>
              </w:rPr>
              <w:t xml:space="preserve">Pharmacovigilance regulations in various Countries-Europe, United Kingdom, France, Brazil, India, China, Japan, Australia, Canada, and USA, </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r>
              <w:rPr>
                <w:rFonts w:ascii="Times New Roman" w:hAnsi="Times New Roman" w:cs="Times New Roman"/>
                <w:color w:val="000000"/>
                <w:sz w:val="22"/>
                <w:szCs w:val="22"/>
              </w:rPr>
              <w:t xml:space="preserve"> WHO Pharmacovigilance Programme for Global monitoring, Pharmacovigilance of Herbal drugs, Crisis management</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MS Mincho">
    <w:altName w:val="FreeSerif"/>
    <w:panose1 w:val="02020609040205080304"/>
    <w:charset w:val="0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4577B99"/>
    <w:multiLevelType w:val="multilevel"/>
    <w:tmpl w:val="44577B9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0F67CC"/>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D72E3"/>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55D9"/>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6103"/>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2D1D"/>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15F179F"/>
    <w:rsid w:val="19F32F89"/>
    <w:rsid w:val="3597957F"/>
    <w:rsid w:val="3BFB2C64"/>
    <w:rsid w:val="5AFBF753"/>
    <w:rsid w:val="5DFF9AAF"/>
    <w:rsid w:val="5FFFA2BE"/>
    <w:rsid w:val="637EA2C0"/>
    <w:rsid w:val="6FFB01BD"/>
    <w:rsid w:val="72DEC5ED"/>
    <w:rsid w:val="77AFB2D0"/>
    <w:rsid w:val="77FCFB55"/>
    <w:rsid w:val="7BFE9A9E"/>
    <w:rsid w:val="7DFED227"/>
    <w:rsid w:val="7EFDB7B0"/>
    <w:rsid w:val="7F7D4274"/>
    <w:rsid w:val="7FDD83BC"/>
    <w:rsid w:val="8FCFEDE4"/>
    <w:rsid w:val="EFBBE471"/>
    <w:rsid w:val="F156BA06"/>
    <w:rsid w:val="F776F40E"/>
    <w:rsid w:val="F977C20C"/>
    <w:rsid w:val="FCFF7CD2"/>
    <w:rsid w:val="FDDBF785"/>
    <w:rsid w:val="FE74578B"/>
    <w:rsid w:val="FE771C82"/>
    <w:rsid w:val="FED74A7D"/>
    <w:rsid w:val="FF5BAB85"/>
    <w:rsid w:val="FFDF5AE5"/>
    <w:rsid w:val="FFF7FA6E"/>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1753</Words>
  <Characters>9993</Characters>
  <Lines>83</Lines>
  <Paragraphs>23</Paragraphs>
  <TotalTime>3</TotalTime>
  <ScaleCrop>false</ScaleCrop>
  <LinksUpToDate>false</LinksUpToDate>
  <CharactersWithSpaces>11723</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2020-06-17T09:51:00Z</dcterms:created>
  <dc:creator>Sandeep Chakravorty</dc:creator>
  <cp:lastModifiedBy>faculty</cp:lastModifiedBy>
  <cp:lastPrinted>2018-07-10T16:01:00Z</cp:lastPrinted>
  <dcterms:modified xsi:type="dcterms:W3CDTF">2020-06-19T13:31:39Z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