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cs="Arial"/>
          <w:color w:val="000000" w:themeColor="text1"/>
          <w:szCs w:val="24"/>
          <w14:textFill>
            <w14:solidFill>
              <w14:schemeClr w14:val="tx1"/>
            </w14:solidFill>
          </w14:textFill>
        </w:rPr>
      </w:pPr>
      <w:r>
        <w:rPr>
          <w:rFonts w:cs="Arial"/>
          <w:color w:val="000000" w:themeColor="text1"/>
          <w:szCs w:val="24"/>
          <w14:textFill>
            <w14:solidFill>
              <w14:schemeClr w14:val="tx1"/>
            </w14:solidFill>
          </w14:textFill>
        </w:rPr>
        <w:t>Name of Faculty: Dr. Anokhi shah</w:t>
      </w:r>
    </w:p>
    <w:p/>
    <w:p>
      <w:pPr>
        <w:pStyle w:val="3"/>
        <w:ind w:left="0"/>
        <w:jc w:val="both"/>
        <w:rPr>
          <w:rFonts w:cs="Arial"/>
          <w:szCs w:val="24"/>
          <w:lang w:val="en-AU"/>
        </w:rPr>
      </w:pPr>
      <w:r>
        <w:rPr>
          <w:rFonts w:cs="Arial"/>
          <w:szCs w:val="24"/>
        </w:rPr>
        <w:t>Medical writing</w:t>
      </w:r>
    </w:p>
    <w:p>
      <w:pPr>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b/>
          <w:bCs/>
          <w:sz w:val="20"/>
          <w:szCs w:val="20"/>
        </w:rPr>
        <w:t>UCR0503</w:t>
      </w:r>
    </w:p>
    <w:p>
      <w:pPr>
        <w:rPr>
          <w:rFonts w:ascii="Arial" w:hAnsi="Arial" w:cs="Arial"/>
          <w:color w:val="0033CC"/>
          <w:lang w:val="en-AU"/>
        </w:rPr>
      </w:pPr>
      <w:r>
        <w:rPr>
          <w:rFonts w:ascii="Arial" w:hAnsi="Arial" w:cs="Arial"/>
          <w:color w:val="0033CC"/>
          <w:lang w:val="en-AU"/>
        </w:rPr>
        <w:t>Course name:</w:t>
      </w:r>
      <w:r>
        <w:rPr>
          <w:b/>
          <w:color w:val="000000"/>
          <w:sz w:val="20"/>
          <w:szCs w:val="20"/>
          <w:lang w:eastAsia="en-IN"/>
        </w:rPr>
        <w:t xml:space="preserve"> </w:t>
      </w:r>
      <w:r>
        <w:rPr>
          <w:b w:val="0"/>
          <w:bCs/>
          <w:color w:val="000000"/>
          <w:sz w:val="20"/>
          <w:szCs w:val="20"/>
          <w:lang w:eastAsia="en-IN"/>
        </w:rPr>
        <w:t>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Credit points: 3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Dr. 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600"/>
        </w:tabs>
        <w:rPr>
          <w:rFonts w:ascii="Arial" w:hAnsi="Arial" w:cs="Arial"/>
          <w:lang w:val="en-AU"/>
        </w:rPr>
      </w:pPr>
      <w:r>
        <w:rPr>
          <w:rFonts w:ascii="Arial" w:hAnsi="Arial" w:cs="Arial"/>
          <w:lang w:val="en-AU"/>
        </w:rPr>
        <w:t>Telephone: 9974702063</w:t>
      </w:r>
      <w:r>
        <w:rPr>
          <w:rFonts w:ascii="Arial" w:hAnsi="Arial" w:cs="Arial"/>
          <w:lang w:val="en-AU"/>
        </w:rPr>
        <w:tab/>
      </w:r>
    </w:p>
    <w:p>
      <w:pPr>
        <w:pStyle w:val="3"/>
        <w:shd w:val="clear" w:color="auto" w:fill="FFFFFF"/>
        <w:spacing w:line="300" w:lineRule="atLeast"/>
        <w:ind w:left="0"/>
        <w:rPr>
          <w:rFonts w:cs="Arial"/>
          <w:b/>
          <w:bCs/>
          <w:color w:val="5F6368"/>
          <w:spacing w:val="5"/>
          <w:szCs w:val="24"/>
        </w:rPr>
      </w:pPr>
      <w:r>
        <w:rPr>
          <w:rFonts w:cs="Arial"/>
          <w:b w:val="0"/>
          <w:szCs w:val="24"/>
          <w:lang w:val="en-AU"/>
        </w:rPr>
        <w:t>Email:</w:t>
      </w:r>
      <w:r>
        <w:rPr>
          <w:rStyle w:val="16"/>
          <w:rFonts w:cs="Arial"/>
          <w:b/>
          <w:bCs/>
          <w:color w:val="555555"/>
          <w:spacing w:val="5"/>
          <w:szCs w:val="24"/>
          <w:u w:val="none"/>
        </w:rPr>
        <w:t>anokhishah.cr@indusuni.ac.in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name:Dr.Anokhi shah</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 class 11</w:t>
      </w:r>
    </w:p>
    <w:p>
      <w:pPr>
        <w:tabs>
          <w:tab w:val="right" w:pos="9498"/>
        </w:tabs>
        <w:rPr>
          <w:rFonts w:ascii="Arial" w:hAnsi="Arial" w:cs="Arial"/>
          <w:lang w:val="en-AU"/>
        </w:rPr>
      </w:pPr>
      <w:r>
        <w:rPr>
          <w:rFonts w:ascii="Arial" w:hAnsi="Arial" w:cs="Arial"/>
          <w:lang w:val="en-AU"/>
        </w:rPr>
        <w:t>Telephone: 9974702063</w:t>
      </w:r>
      <w:r>
        <w:rPr>
          <w:rFonts w:ascii="Arial" w:hAnsi="Arial" w:cs="Arial"/>
          <w:lang w:val="en-AU"/>
        </w:rPr>
        <w:tab/>
      </w:r>
    </w:p>
    <w:p>
      <w:pPr>
        <w:rPr>
          <w:rFonts w:ascii="Arial" w:hAnsi="Arial" w:cs="Arial"/>
        </w:rPr>
      </w:pPr>
      <w:r>
        <w:rPr>
          <w:rFonts w:ascii="Arial" w:hAnsi="Arial" w:cs="Arial"/>
          <w:lang w:val="en-AU"/>
        </w:rPr>
        <w:t>Email:</w:t>
      </w:r>
      <w:r>
        <w:rPr>
          <w:rFonts w:ascii="Arial" w:hAnsi="Arial" w:cs="Arial"/>
        </w:rPr>
        <w:t>Anokhishah.cr@indusuni.ac.in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shd w:val="clear" w:color="auto" w:fill="FFFFFF"/>
        <w:spacing w:after="0"/>
        <w:rPr>
          <w:rFonts w:ascii="Times New Roman" w:hAnsi="Times New Roman" w:eastAsia="Times New Roman"/>
          <w:bCs/>
          <w:color w:val="000000"/>
          <w:sz w:val="21"/>
          <w:szCs w:val="21"/>
          <w:lang w:eastAsia="en-IN"/>
        </w:rPr>
      </w:pPr>
      <w:r>
        <w:rPr>
          <w:rFonts w:ascii="Times New Roman" w:hAnsi="Times New Roman" w:eastAsia="Times New Roman"/>
          <w:bCs/>
          <w:color w:val="000000"/>
          <w:sz w:val="21"/>
          <w:szCs w:val="21"/>
          <w:lang w:eastAsia="en-IN"/>
        </w:rPr>
        <w:t>To know about on Medical Writing</w:t>
      </w:r>
    </w:p>
    <w:p>
      <w:pPr>
        <w:rPr>
          <w:rFonts w:ascii="Arial" w:hAnsi="Arial" w:cs="Arial"/>
        </w:rPr>
      </w:pPr>
    </w:p>
    <w:p>
      <w:pPr>
        <w:rPr>
          <w:rFonts w:ascii="Arial" w:hAnsi="Arial" w:cs="Arial"/>
        </w:rPr>
      </w:pPr>
      <w:r>
        <w:rPr>
          <w:rFonts w:ascii="Arial" w:hAnsi="Arial" w:cs="Arial"/>
        </w:rPr>
        <w:t>Course Outcomes (CO)</w:t>
      </w:r>
    </w:p>
    <w:p>
      <w:pPr>
        <w:rPr>
          <w:rFonts w:ascii="Arial" w:hAnsi="Arial" w:cs="Arial"/>
        </w:rPr>
      </w:pPr>
      <w:r>
        <w:rPr>
          <w:rFonts w:ascii="Arial" w:hAnsi="Arial" w:cs="Arial"/>
        </w:rPr>
        <w:t>After successful completion of course, student will able to understand,</w:t>
      </w:r>
    </w:p>
    <w:p>
      <w:pPr>
        <w:rPr>
          <w:rFonts w:ascii="Arial" w:hAnsi="Arial" w:cs="Arial"/>
        </w:rPr>
      </w:pPr>
    </w:p>
    <w:p>
      <w:pPr>
        <w:numPr>
          <w:ilvl w:val="0"/>
          <w:numId w:val="1"/>
        </w:numPr>
        <w:shd w:val="clear" w:color="auto" w:fill="FFFFFF"/>
        <w:suppressAutoHyphens/>
        <w:spacing w:after="0" w:line="240" w:lineRule="auto"/>
        <w:rPr>
          <w:rFonts w:ascii="Times New Roman" w:hAnsi="Times New Roman" w:eastAsia="Times New Roman"/>
          <w:b/>
          <w:bCs/>
          <w:color w:val="000000"/>
          <w:sz w:val="21"/>
          <w:szCs w:val="21"/>
          <w:lang w:eastAsia="en-IN"/>
        </w:rPr>
      </w:pPr>
      <w:r>
        <w:rPr>
          <w:rFonts w:ascii="Times New Roman" w:hAnsi="Times New Roman" w:eastAsia="Times New Roman"/>
          <w:bCs/>
          <w:color w:val="000000"/>
          <w:sz w:val="21"/>
          <w:szCs w:val="21"/>
          <w:lang w:eastAsia="en-IN"/>
        </w:rPr>
        <w:t>Creating documents for medical records &amp; reference retrieval</w:t>
      </w:r>
    </w:p>
    <w:p>
      <w:pPr>
        <w:numPr>
          <w:ilvl w:val="0"/>
          <w:numId w:val="1"/>
        </w:numPr>
        <w:shd w:val="clear" w:color="auto" w:fill="FFFFFF"/>
        <w:suppressAutoHyphens/>
        <w:spacing w:after="0" w:line="240" w:lineRule="auto"/>
        <w:rPr>
          <w:rFonts w:ascii="Times New Roman" w:hAnsi="Times New Roman" w:eastAsia="Times New Roman"/>
          <w:b/>
          <w:bCs/>
          <w:color w:val="000000"/>
          <w:sz w:val="21"/>
          <w:szCs w:val="21"/>
          <w:lang w:eastAsia="en-IN"/>
        </w:rPr>
      </w:pPr>
      <w:r>
        <w:rPr>
          <w:rFonts w:ascii="Times New Roman" w:hAnsi="Times New Roman" w:eastAsia="Times New Roman"/>
          <w:bCs/>
          <w:color w:val="000000"/>
          <w:sz w:val="21"/>
          <w:szCs w:val="21"/>
          <w:lang w:eastAsia="en-IN"/>
        </w:rPr>
        <w:t>To understand the different aspects of medical writing</w:t>
      </w:r>
    </w:p>
    <w:p>
      <w:pPr>
        <w:numPr>
          <w:ilvl w:val="0"/>
          <w:numId w:val="1"/>
        </w:numPr>
        <w:shd w:val="clear" w:color="auto" w:fill="FFFFFF"/>
        <w:suppressAutoHyphens/>
        <w:spacing w:after="0" w:line="240" w:lineRule="auto"/>
        <w:rPr>
          <w:rFonts w:ascii="Times New Roman" w:hAnsi="Times New Roman" w:eastAsia="Times New Roman"/>
          <w:b/>
          <w:bCs/>
          <w:color w:val="000000"/>
          <w:sz w:val="21"/>
          <w:szCs w:val="21"/>
          <w:lang w:eastAsia="en-IN"/>
        </w:rPr>
      </w:pPr>
      <w:r>
        <w:rPr>
          <w:rFonts w:ascii="Times New Roman" w:hAnsi="Times New Roman" w:eastAsia="Times New Roman"/>
          <w:bCs/>
          <w:color w:val="000000"/>
          <w:sz w:val="21"/>
          <w:szCs w:val="21"/>
          <w:lang w:eastAsia="en-IN"/>
        </w:rPr>
        <w:t>To be familiar with the different formats of writing scientific articles.</w:t>
      </w: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pStyle w:val="22"/>
        <w:ind w:left="0"/>
        <w:rPr>
          <w:rFonts w:ascii="Arial" w:hAnsi="Arial" w:cs="Arial"/>
          <w:b/>
          <w:bCs/>
          <w:color w:val="000000"/>
          <w:sz w:val="22"/>
          <w:szCs w:val="22"/>
        </w:rPr>
      </w:pPr>
      <w:r>
        <w:rPr>
          <w:rFonts w:ascii="Arial" w:hAnsi="Arial" w:cs="Arial"/>
          <w:b/>
          <w:bCs/>
          <w:color w:val="000000"/>
          <w:sz w:val="22"/>
          <w:szCs w:val="22"/>
        </w:rPr>
        <w:t>Course Content:</w:t>
      </w:r>
    </w:p>
    <w:p>
      <w:pPr>
        <w:shd w:val="clear" w:color="auto" w:fill="FFFFFF"/>
        <w:rPr>
          <w:color w:val="000000"/>
          <w:sz w:val="21"/>
          <w:szCs w:val="21"/>
          <w:lang w:eastAsia="en-IN"/>
        </w:rPr>
      </w:pPr>
      <w:r>
        <w:rPr>
          <w:b/>
          <w:bCs/>
          <w:color w:val="000000"/>
          <w:sz w:val="21"/>
          <w:szCs w:val="21"/>
          <w:lang w:eastAsia="en-IN"/>
        </w:rPr>
        <w:t xml:space="preserve">Unit 1: Introduction to medical writing </w:t>
      </w:r>
      <w:r>
        <w:rPr>
          <w:b/>
          <w:bCs/>
          <w:color w:val="000000"/>
          <w:sz w:val="21"/>
          <w:szCs w:val="21"/>
          <w:lang w:eastAsia="en-IN"/>
        </w:rPr>
        <w:tab/>
      </w:r>
      <w:r>
        <w:rPr>
          <w:b/>
          <w:bCs/>
          <w:color w:val="000000"/>
          <w:sz w:val="21"/>
          <w:szCs w:val="21"/>
          <w:lang w:eastAsia="en-IN"/>
        </w:rPr>
        <w:tab/>
      </w:r>
      <w:r>
        <w:rPr>
          <w:b/>
          <w:bCs/>
          <w:color w:val="000000"/>
          <w:sz w:val="21"/>
          <w:szCs w:val="21"/>
          <w:lang w:eastAsia="en-IN"/>
        </w:rPr>
        <w:tab/>
      </w:r>
      <w:r>
        <w:rPr>
          <w:b/>
          <w:bCs/>
          <w:color w:val="000000"/>
          <w:sz w:val="21"/>
          <w:szCs w:val="21"/>
          <w:lang w:eastAsia="en-IN"/>
        </w:rPr>
        <w:tab/>
      </w:r>
      <w:r>
        <w:rPr>
          <w:b/>
          <w:bCs/>
          <w:color w:val="000000"/>
          <w:sz w:val="21"/>
          <w:szCs w:val="21"/>
          <w:lang w:eastAsia="en-IN"/>
        </w:rPr>
        <w:tab/>
      </w:r>
      <w:r>
        <w:rPr>
          <w:b/>
          <w:bCs/>
          <w:color w:val="000000"/>
          <w:sz w:val="21"/>
          <w:szCs w:val="21"/>
          <w:lang w:eastAsia="en-IN"/>
        </w:rPr>
        <w:tab/>
      </w:r>
      <w:r>
        <w:rPr>
          <w:b/>
          <w:bCs/>
          <w:color w:val="000000"/>
          <w:sz w:val="21"/>
          <w:szCs w:val="21"/>
          <w:lang w:eastAsia="en-IN"/>
        </w:rPr>
        <w:tab/>
      </w:r>
    </w:p>
    <w:p>
      <w:pPr>
        <w:shd w:val="clear" w:color="auto" w:fill="FFFFFF"/>
        <w:ind w:left="79"/>
        <w:rPr>
          <w:color w:val="000000"/>
          <w:sz w:val="21"/>
          <w:szCs w:val="21"/>
          <w:lang w:eastAsia="en-IN"/>
        </w:rPr>
      </w:pPr>
      <w:r>
        <w:rPr>
          <w:color w:val="000000"/>
          <w:sz w:val="21"/>
          <w:szCs w:val="21"/>
          <w:lang w:eastAsia="en-IN"/>
        </w:rPr>
        <w:t xml:space="preserve">Article Writing: Introduction,  Good Publication Practices, Documentation Standards, </w:t>
      </w:r>
      <w:r>
        <w:rPr>
          <w:bCs/>
          <w:color w:val="000000"/>
          <w:sz w:val="21"/>
          <w:szCs w:val="21"/>
          <w:shd w:val="clear" w:color="auto" w:fill="FFFFFF"/>
          <w:lang w:eastAsia="en-IN"/>
        </w:rPr>
        <w:t>Article types</w:t>
      </w:r>
      <w:r>
        <w:rPr>
          <w:b/>
          <w:bCs/>
          <w:color w:val="000000"/>
          <w:sz w:val="21"/>
          <w:szCs w:val="21"/>
          <w:shd w:val="clear" w:color="auto" w:fill="FFFFFF"/>
          <w:lang w:eastAsia="en-IN"/>
        </w:rPr>
        <w:t xml:space="preserve">: </w:t>
      </w:r>
      <w:r>
        <w:rPr>
          <w:color w:val="000000"/>
          <w:sz w:val="21"/>
          <w:szCs w:val="21"/>
          <w:lang w:eastAsia="en-IN"/>
        </w:rPr>
        <w:t>Overview of scientific articles, Reviews, Research articles, systematic review, meta analysis, commentary, letter to editor, editorials, etc.</w:t>
      </w:r>
    </w:p>
    <w:p>
      <w:pPr>
        <w:rPr>
          <w:color w:val="000000"/>
          <w:sz w:val="21"/>
          <w:szCs w:val="21"/>
          <w:lang w:eastAsia="en-IN"/>
        </w:rPr>
      </w:pPr>
      <w:r>
        <w:rPr>
          <w:bCs/>
          <w:color w:val="000000"/>
          <w:sz w:val="21"/>
          <w:szCs w:val="21"/>
          <w:shd w:val="clear" w:color="auto" w:fill="FFFFFF"/>
          <w:lang w:eastAsia="en-IN"/>
        </w:rPr>
        <w:t>Writing article</w:t>
      </w:r>
      <w:r>
        <w:rPr>
          <w:b/>
          <w:bCs/>
          <w:color w:val="000000"/>
          <w:sz w:val="21"/>
          <w:szCs w:val="21"/>
          <w:shd w:val="clear" w:color="auto" w:fill="FFFFFF"/>
          <w:lang w:eastAsia="en-IN"/>
        </w:rPr>
        <w:t xml:space="preserve"> </w:t>
      </w:r>
      <w:r>
        <w:rPr>
          <w:b/>
          <w:bCs/>
          <w:color w:val="000000"/>
          <w:sz w:val="21"/>
          <w:szCs w:val="21"/>
          <w:shd w:val="clear" w:color="auto" w:fill="FFFFFF"/>
          <w:lang w:eastAsia="en-IN"/>
        </w:rPr>
        <w:tab/>
      </w:r>
      <w:r>
        <w:rPr>
          <w:b/>
          <w:bCs/>
          <w:color w:val="000000"/>
          <w:sz w:val="21"/>
          <w:szCs w:val="21"/>
          <w:shd w:val="clear" w:color="auto" w:fill="FFFFFF"/>
          <w:lang w:eastAsia="en-IN"/>
        </w:rPr>
        <w:t xml:space="preserve">: </w:t>
      </w:r>
      <w:r>
        <w:rPr>
          <w:color w:val="000000"/>
          <w:sz w:val="21"/>
          <w:szCs w:val="21"/>
          <w:lang w:eastAsia="en-IN"/>
        </w:rPr>
        <w:t xml:space="preserve">Literature search and pubmed search, Article writing : Exercises and examples, </w:t>
      </w:r>
      <w:r>
        <w:rPr>
          <w:color w:val="000000"/>
          <w:sz w:val="21"/>
          <w:szCs w:val="21"/>
          <w:shd w:val="clear" w:color="auto" w:fill="FFFFFF"/>
          <w:lang w:eastAsia="en-IN"/>
        </w:rPr>
        <w:t>Article submission, selecting target journal, Letter writing for editorial process, Reviewing, editing and publishing</w:t>
      </w:r>
      <w:r>
        <w:rPr>
          <w:color w:val="000000"/>
          <w:sz w:val="21"/>
          <w:szCs w:val="21"/>
          <w:shd w:val="clear" w:color="auto" w:fill="FFFFFF"/>
          <w:lang w:eastAsia="en-IN"/>
        </w:rPr>
        <w:br w:type="textWrapping"/>
      </w:r>
    </w:p>
    <w:p>
      <w:pPr>
        <w:rPr>
          <w:color w:val="000000"/>
          <w:sz w:val="21"/>
          <w:szCs w:val="21"/>
          <w:lang w:eastAsia="en-IN"/>
        </w:rPr>
      </w:pPr>
      <w:r>
        <w:rPr>
          <w:b/>
          <w:bCs/>
          <w:color w:val="000000"/>
          <w:sz w:val="21"/>
          <w:szCs w:val="21"/>
          <w:shd w:val="clear" w:color="auto" w:fill="FFFFFF"/>
          <w:lang w:eastAsia="en-IN"/>
        </w:rPr>
        <w:t xml:space="preserve">Unit 2: Software for medical writing </w:t>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p>
    <w:p>
      <w:pPr>
        <w:shd w:val="clear" w:color="auto" w:fill="FFFFFF"/>
        <w:ind w:left="79"/>
        <w:rPr>
          <w:color w:val="000000"/>
          <w:sz w:val="21"/>
          <w:szCs w:val="21"/>
          <w:lang w:eastAsia="en-IN"/>
        </w:rPr>
      </w:pPr>
      <w:r>
        <w:rPr>
          <w:color w:val="000000"/>
          <w:sz w:val="21"/>
          <w:szCs w:val="21"/>
          <w:lang w:eastAsia="en-IN"/>
        </w:rPr>
        <w:t>Referencing software, article writing software, and plagiarism software</w:t>
      </w:r>
    </w:p>
    <w:p>
      <w:pPr>
        <w:rPr>
          <w:b/>
          <w:bCs/>
          <w:color w:val="000000"/>
          <w:sz w:val="21"/>
          <w:szCs w:val="21"/>
          <w:shd w:val="clear" w:color="auto" w:fill="FFFFFF"/>
          <w:lang w:eastAsia="en-IN"/>
        </w:rPr>
      </w:pPr>
    </w:p>
    <w:p>
      <w:pPr>
        <w:rPr>
          <w:color w:val="000000"/>
          <w:sz w:val="21"/>
          <w:szCs w:val="21"/>
          <w:lang w:eastAsia="en-IN"/>
        </w:rPr>
      </w:pPr>
      <w:r>
        <w:rPr>
          <w:b/>
          <w:bCs/>
          <w:color w:val="000000"/>
          <w:sz w:val="21"/>
          <w:szCs w:val="21"/>
          <w:shd w:val="clear" w:color="auto" w:fill="FFFFFF"/>
          <w:lang w:eastAsia="en-IN"/>
        </w:rPr>
        <w:t xml:space="preserve">Unit 3: Guidelines for medical writing </w:t>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p>
    <w:p>
      <w:pPr>
        <w:shd w:val="clear" w:color="auto" w:fill="FFFFFF"/>
        <w:ind w:left="79"/>
        <w:rPr>
          <w:color w:val="000000"/>
          <w:sz w:val="21"/>
          <w:szCs w:val="21"/>
          <w:lang w:eastAsia="en-IN"/>
        </w:rPr>
      </w:pPr>
      <w:r>
        <w:rPr>
          <w:color w:val="000000"/>
          <w:sz w:val="21"/>
          <w:szCs w:val="21"/>
          <w:lang w:eastAsia="en-IN"/>
        </w:rPr>
        <w:t xml:space="preserve">Duties of Author, Authorship dispute, Editor, Reviewer, etc., </w:t>
      </w:r>
      <w:r>
        <w:rPr>
          <w:color w:val="000000"/>
          <w:sz w:val="21"/>
          <w:szCs w:val="21"/>
          <w:shd w:val="clear" w:color="auto" w:fill="FFFFFF"/>
          <w:lang w:eastAsia="en-IN"/>
        </w:rPr>
        <w:t>Guidelines of ICMJE and other bodies</w:t>
      </w:r>
    </w:p>
    <w:p>
      <w:pPr>
        <w:shd w:val="clear" w:color="auto" w:fill="FFFFFF"/>
        <w:ind w:left="79"/>
        <w:rPr>
          <w:color w:val="000000"/>
          <w:sz w:val="21"/>
          <w:szCs w:val="21"/>
          <w:lang w:eastAsia="en-IN"/>
        </w:rPr>
      </w:pPr>
      <w:r>
        <w:rPr>
          <w:color w:val="000000"/>
          <w:sz w:val="21"/>
          <w:szCs w:val="21"/>
          <w:lang w:eastAsia="en-IN"/>
        </w:rPr>
        <w:t>Guidelines and Checklists of relevant to medical writing in diverse medical fraternities, Publication Ethics</w:t>
      </w:r>
    </w:p>
    <w:p>
      <w:pPr>
        <w:shd w:val="clear" w:color="auto" w:fill="FFFFFF"/>
        <w:ind w:left="79"/>
        <w:rPr>
          <w:color w:val="000000"/>
          <w:sz w:val="21"/>
          <w:szCs w:val="21"/>
          <w:lang w:eastAsia="en-IN"/>
        </w:rPr>
      </w:pPr>
      <w:r>
        <w:rPr>
          <w:color w:val="000000"/>
          <w:sz w:val="21"/>
          <w:szCs w:val="21"/>
          <w:lang w:eastAsia="en-IN"/>
        </w:rPr>
        <w:t>Journal quality and impact assessment of article, Common technical document (CTD) dossier writing</w:t>
      </w:r>
    </w:p>
    <w:p>
      <w:pPr>
        <w:rPr>
          <w:b/>
          <w:bCs/>
          <w:color w:val="000000"/>
          <w:sz w:val="21"/>
          <w:szCs w:val="21"/>
          <w:shd w:val="clear" w:color="auto" w:fill="FFFFFF"/>
          <w:lang w:eastAsia="en-IN"/>
        </w:rPr>
      </w:pPr>
    </w:p>
    <w:p>
      <w:pPr>
        <w:rPr>
          <w:color w:val="000000"/>
          <w:sz w:val="21"/>
          <w:szCs w:val="21"/>
          <w:lang w:eastAsia="en-IN"/>
        </w:rPr>
      </w:pPr>
      <w:r>
        <w:rPr>
          <w:b/>
          <w:bCs/>
          <w:color w:val="000000"/>
          <w:sz w:val="21"/>
          <w:szCs w:val="21"/>
          <w:shd w:val="clear" w:color="auto" w:fill="FFFFFF"/>
          <w:lang w:eastAsia="en-IN"/>
        </w:rPr>
        <w:t xml:space="preserve">Unit 4: Documents in Clinical Research </w:t>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r>
        <w:rPr>
          <w:b/>
          <w:bCs/>
          <w:color w:val="000000"/>
          <w:sz w:val="21"/>
          <w:szCs w:val="21"/>
          <w:shd w:val="clear" w:color="auto" w:fill="FFFFFF"/>
          <w:lang w:eastAsia="en-IN"/>
        </w:rPr>
        <w:tab/>
      </w:r>
    </w:p>
    <w:p>
      <w:pPr>
        <w:shd w:val="clear" w:color="auto" w:fill="FFFFFF"/>
        <w:ind w:left="79"/>
        <w:rPr>
          <w:color w:val="656565"/>
          <w:sz w:val="21"/>
          <w:szCs w:val="21"/>
          <w:lang w:eastAsia="en-IN"/>
        </w:rPr>
      </w:pPr>
      <w:r>
        <w:rPr>
          <w:color w:val="000000"/>
          <w:sz w:val="21"/>
          <w:szCs w:val="21"/>
          <w:lang w:eastAsia="en-IN"/>
        </w:rPr>
        <w:t>Clinical study report, Grant proposal, Leave behind literature, Pharmacovigilance writing: ICSR, SAE reporting, Narratives, PSUR, DSUR, etc</w:t>
      </w:r>
      <w:r>
        <w:rPr>
          <w:color w:val="656565"/>
          <w:sz w:val="21"/>
          <w:szCs w:val="21"/>
          <w:lang w:eastAsia="en-IN"/>
        </w:rPr>
        <w:t>.</w:t>
      </w:r>
    </w:p>
    <w:p>
      <w:pPr>
        <w:jc w:val="both"/>
        <w:rPr>
          <w:sz w:val="21"/>
          <w:szCs w:val="21"/>
        </w:rPr>
      </w:pPr>
      <w:r>
        <w:rPr>
          <w:sz w:val="21"/>
          <w:szCs w:val="21"/>
        </w:rPr>
        <w:t xml:space="preserve">. </w:t>
      </w:r>
    </w:p>
    <w:p>
      <w:pPr>
        <w:jc w:val="both"/>
        <w:rPr>
          <w:sz w:val="21"/>
          <w:szCs w:val="21"/>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hours/week</w:t>
      </w:r>
    </w:p>
    <w:p>
      <w:pPr>
        <w:ind w:left="567" w:hanging="567"/>
        <w:jc w:val="both"/>
        <w:rPr>
          <w:rFonts w:ascii="Arial" w:hAnsi="Arial" w:cs="Arial"/>
          <w:color w:val="000000" w:themeColor="text1"/>
          <w14:textFill>
            <w14:solidFill>
              <w14:schemeClr w14:val="tx1"/>
            </w14:solidFill>
          </w14:textFill>
        </w:rPr>
      </w:pPr>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Student will be able to learn regarding different application of clinical Data management, startup phase and process of data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data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
      <w:pPr>
        <w:pStyle w:val="22"/>
        <w:numPr>
          <w:numId w:val="0"/>
        </w:numPr>
        <w:spacing w:after="0" w:line="240" w:lineRule="auto"/>
        <w:ind w:leftChars="0"/>
        <w:jc w:val="both"/>
        <w:rPr>
          <w:rFonts w:ascii="Times New Roman" w:hAnsi="Times New Roman"/>
          <w:sz w:val="21"/>
          <w:szCs w:val="21"/>
        </w:rPr>
      </w:pPr>
      <w:r>
        <w:rPr>
          <w:rFonts w:ascii="Times New Roman" w:hAnsi="Times New Roman"/>
          <w:sz w:val="21"/>
          <w:szCs w:val="21"/>
        </w:rPr>
        <w:t xml:space="preserve">Bradford Hill A. Logical order for a scientific paper. BMJ; 2: 870, 1965. </w:t>
      </w:r>
    </w:p>
    <w:p>
      <w:r>
        <w:rPr>
          <w:rFonts w:ascii="Times New Roman" w:hAnsi="Times New Roman"/>
          <w:sz w:val="21"/>
          <w:szCs w:val="21"/>
        </w:rPr>
        <w:t xml:space="preserve">Gustavii B. How to write and illustrate a scientific paper. Cambridge Univ P.BMA </w:t>
      </w:r>
    </w:p>
    <w:p>
      <w:pPr>
        <w:pStyle w:val="2"/>
        <w:tabs>
          <w:tab w:val="left" w:pos="2941"/>
        </w:tabs>
        <w:rPr>
          <w:rFonts w:ascii="Arial" w:hAnsi="Arial" w:cs="Arial"/>
          <w:sz w:val="24"/>
          <w:szCs w:val="24"/>
          <w:lang w:val="en-AU"/>
        </w:rPr>
      </w:pPr>
      <w:r>
        <w:rPr>
          <w:rFonts w:ascii="Arial" w:hAnsi="Arial" w:cs="Arial"/>
          <w:sz w:val="24"/>
          <w:szCs w:val="24"/>
          <w:lang w:val="en-AU"/>
        </w:rPr>
        <w:t>Text books</w:t>
      </w:r>
    </w:p>
    <w:p>
      <w:pPr>
        <w:pStyle w:val="22"/>
        <w:numPr>
          <w:ilvl w:val="3"/>
          <w:numId w:val="3"/>
        </w:numPr>
        <w:spacing w:after="0" w:line="240" w:lineRule="auto"/>
        <w:ind w:left="360"/>
        <w:jc w:val="both"/>
        <w:rPr>
          <w:rFonts w:ascii="Times New Roman" w:hAnsi="Times New Roman"/>
          <w:sz w:val="21"/>
          <w:szCs w:val="21"/>
        </w:rPr>
      </w:pPr>
      <w:r>
        <w:rPr>
          <w:rFonts w:ascii="Times New Roman" w:hAnsi="Times New Roman"/>
          <w:sz w:val="21"/>
          <w:szCs w:val="21"/>
        </w:rPr>
        <w:t xml:space="preserve">Asher R. How to present your article. BMJ, 2: 502, 1958. </w:t>
      </w:r>
    </w:p>
    <w:p>
      <w:pPr>
        <w:pStyle w:val="22"/>
        <w:numPr>
          <w:ilvl w:val="3"/>
          <w:numId w:val="3"/>
        </w:numPr>
        <w:spacing w:after="0" w:line="240" w:lineRule="auto"/>
        <w:ind w:left="360"/>
        <w:jc w:val="both"/>
        <w:rPr>
          <w:rFonts w:ascii="Times New Roman" w:hAnsi="Times New Roman"/>
          <w:sz w:val="21"/>
          <w:szCs w:val="21"/>
        </w:rPr>
      </w:pPr>
      <w:r>
        <w:rPr>
          <w:rFonts w:ascii="Times New Roman" w:hAnsi="Times New Roman"/>
          <w:sz w:val="21"/>
          <w:szCs w:val="21"/>
        </w:rPr>
        <w:t xml:space="preserve">Stephen Lock Thornes’s better medical writing, Pitmen Medical, 2nd Ed. 6. 1977. </w:t>
      </w:r>
    </w:p>
    <w:p>
      <w:pPr>
        <w:pStyle w:val="22"/>
        <w:numPr>
          <w:ilvl w:val="3"/>
          <w:numId w:val="3"/>
        </w:numPr>
        <w:spacing w:after="0" w:line="240" w:lineRule="auto"/>
        <w:ind w:left="360"/>
        <w:jc w:val="both"/>
        <w:rPr>
          <w:rFonts w:ascii="Times New Roman" w:hAnsi="Times New Roman"/>
          <w:sz w:val="21"/>
          <w:szCs w:val="21"/>
        </w:rPr>
      </w:pPr>
      <w:r>
        <w:rPr>
          <w:rFonts w:ascii="Times New Roman" w:hAnsi="Times New Roman"/>
          <w:sz w:val="21"/>
          <w:szCs w:val="21"/>
        </w:rPr>
        <w:t xml:space="preserve">Fraser HS. Writing a scientific paper. West Indian Med J; 44 (4): 114-24, 1995. </w:t>
      </w:r>
    </w:p>
    <w:p>
      <w:pPr>
        <w:pStyle w:val="2"/>
        <w:tabs>
          <w:tab w:val="left" w:pos="2941"/>
        </w:tabs>
        <w:rPr>
          <w:rFonts w:ascii="Arial" w:hAnsi="Arial" w:cs="Arial"/>
          <w:sz w:val="24"/>
          <w:szCs w:val="24"/>
          <w:lang w:val="en-AU"/>
        </w:rPr>
      </w:pPr>
      <w:r>
        <w:rPr>
          <w:rFonts w:ascii="Arial" w:hAnsi="Arial" w:cs="Arial"/>
          <w:sz w:val="24"/>
          <w:szCs w:val="24"/>
          <w:lang w:val="en-AU"/>
        </w:rPr>
        <w:tab/>
      </w:r>
    </w:p>
    <w:p>
      <w:pPr>
        <w:jc w:val="both"/>
        <w:rPr>
          <w:rFonts w:ascii="Arial" w:hAnsi="Arial" w:cs="Arial"/>
          <w:bCs/>
          <w:lang w:val="en-AU"/>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tbl>
      <w:tblPr>
        <w:tblStyle w:val="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56"/>
        <w:gridCol w:w="1021"/>
        <w:gridCol w:w="881"/>
        <w:gridCol w:w="1372"/>
        <w:gridCol w:w="1372"/>
        <w:gridCol w:w="1260"/>
        <w:gridCol w:w="1260"/>
        <w:gridCol w:w="3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jc w:val="center"/>
              <w:rPr>
                <w:rFonts w:ascii="Times New Roman" w:hAnsi="Times New Roman"/>
                <w:b w:val="0"/>
                <w:bCs/>
                <w:color w:val="000000"/>
                <w:sz w:val="21"/>
                <w:szCs w:val="21"/>
                <w:lang w:eastAsia="en-US"/>
              </w:rPr>
            </w:pPr>
            <w:bookmarkStart w:id="0" w:name="_GoBack" w:colFirst="8" w:colLast="0"/>
            <w:r>
              <w:rPr>
                <w:rFonts w:ascii="Times New Roman" w:hAnsi="Times New Roman"/>
                <w:b w:val="0"/>
                <w:bCs/>
                <w:color w:val="000000"/>
                <w:sz w:val="21"/>
                <w:szCs w:val="21"/>
                <w:lang w:eastAsia="en-US"/>
              </w:rPr>
              <w:t xml:space="preserve">Subject : </w:t>
            </w:r>
            <w:r>
              <w:rPr>
                <w:rFonts w:ascii="Times New Roman" w:hAnsi="Times New Roman" w:eastAsia="Times New Roman"/>
                <w:b w:val="0"/>
                <w:bCs/>
                <w:color w:val="000000"/>
                <w:sz w:val="21"/>
                <w:szCs w:val="21"/>
              </w:rPr>
              <w:t>Medical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3"/>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Program : B.Sc-Clinical Research and Healthcare Management</w:t>
            </w:r>
          </w:p>
        </w:tc>
        <w:tc>
          <w:tcPr>
            <w:tcW w:w="3625" w:type="dxa"/>
            <w:gridSpan w:val="3"/>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Subject Code : UCR0503</w:t>
            </w:r>
          </w:p>
        </w:tc>
        <w:tc>
          <w:tcPr>
            <w:tcW w:w="3187" w:type="dxa"/>
            <w:gridSpan w:val="4"/>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Semester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rPr>
                <w:rFonts w:ascii="Times New Roman" w:hAnsi="Times New Roman"/>
                <w:b w:val="0"/>
                <w:bCs/>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3"/>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Teaching Scheme</w:t>
            </w:r>
          </w:p>
        </w:tc>
        <w:tc>
          <w:tcPr>
            <w:tcW w:w="6177" w:type="dxa"/>
            <w:gridSpan w:val="6"/>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Examination Evaluation Scheme</w:t>
            </w:r>
          </w:p>
        </w:tc>
        <w:tc>
          <w:tcPr>
            <w:tcW w:w="635" w:type="dxa"/>
            <w:noWrap w:val="0"/>
            <w:vAlign w:val="top"/>
          </w:tcPr>
          <w:p>
            <w:pPr>
              <w:pStyle w:val="28"/>
              <w:spacing w:line="259" w:lineRule="auto"/>
              <w:rPr>
                <w:rFonts w:ascii="Times New Roman" w:hAnsi="Times New Roman"/>
                <w:b w:val="0"/>
                <w:bCs/>
                <w:color w:val="000000"/>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noWrap w:val="0"/>
            <w:vAlign w:val="top"/>
          </w:tcPr>
          <w:p>
            <w:pPr>
              <w:pStyle w:val="28"/>
              <w:spacing w:line="259" w:lineRule="auto"/>
              <w:ind w:right="-108"/>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Lecture</w:t>
            </w:r>
          </w:p>
        </w:tc>
        <w:tc>
          <w:tcPr>
            <w:tcW w:w="956" w:type="dxa"/>
            <w:noWrap w:val="0"/>
            <w:vAlign w:val="top"/>
          </w:tcPr>
          <w:p>
            <w:pPr>
              <w:pStyle w:val="28"/>
              <w:spacing w:line="259" w:lineRule="auto"/>
              <w:ind w:right="-144"/>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Tutorial</w:t>
            </w:r>
          </w:p>
        </w:tc>
        <w:tc>
          <w:tcPr>
            <w:tcW w:w="1021"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Practical</w:t>
            </w:r>
          </w:p>
        </w:tc>
        <w:tc>
          <w:tcPr>
            <w:tcW w:w="881"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Credits</w:t>
            </w:r>
          </w:p>
        </w:tc>
        <w:tc>
          <w:tcPr>
            <w:tcW w:w="1372"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University Theory Examination</w:t>
            </w:r>
          </w:p>
        </w:tc>
        <w:tc>
          <w:tcPr>
            <w:tcW w:w="1372"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University Practical Examination</w:t>
            </w:r>
          </w:p>
        </w:tc>
        <w:tc>
          <w:tcPr>
            <w:tcW w:w="1260"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Continuous Internal Evaluation (CIE)- Theory</w:t>
            </w:r>
          </w:p>
        </w:tc>
        <w:tc>
          <w:tcPr>
            <w:tcW w:w="1260" w:type="dxa"/>
            <w:noWrap w:val="0"/>
            <w:vAlign w:val="top"/>
          </w:tcPr>
          <w:p>
            <w:pPr>
              <w:pStyle w:val="28"/>
              <w:spacing w:line="259" w:lineRule="auto"/>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Continuous Internal Evaluation (CIE) - Practical</w:t>
            </w:r>
          </w:p>
        </w:tc>
        <w:tc>
          <w:tcPr>
            <w:tcW w:w="667" w:type="dxa"/>
            <w:gridSpan w:val="2"/>
            <w:noWrap w:val="0"/>
            <w:vAlign w:val="top"/>
          </w:tcPr>
          <w:p>
            <w:pPr>
              <w:pStyle w:val="28"/>
              <w:spacing w:line="259" w:lineRule="auto"/>
              <w:ind w:left="-150" w:right="-108"/>
              <w:jc w:val="center"/>
              <w:rPr>
                <w:rFonts w:ascii="Times New Roman" w:hAnsi="Times New Roman"/>
                <w:b w:val="0"/>
                <w:bCs/>
                <w:color w:val="000000"/>
                <w:sz w:val="21"/>
                <w:szCs w:val="21"/>
                <w:lang w:eastAsia="en-US"/>
              </w:rPr>
            </w:pPr>
            <w:r>
              <w:rPr>
                <w:rFonts w:ascii="Times New Roman" w:hAnsi="Times New Roman"/>
                <w:b w:val="0"/>
                <w:bCs/>
                <w:color w:val="000000"/>
                <w:sz w:val="21"/>
                <w:szCs w:val="21"/>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3</w:t>
            </w:r>
          </w:p>
        </w:tc>
        <w:tc>
          <w:tcPr>
            <w:tcW w:w="956"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0</w:t>
            </w:r>
          </w:p>
        </w:tc>
        <w:tc>
          <w:tcPr>
            <w:tcW w:w="1021"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0</w:t>
            </w:r>
          </w:p>
        </w:tc>
        <w:tc>
          <w:tcPr>
            <w:tcW w:w="881"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3</w:t>
            </w:r>
          </w:p>
        </w:tc>
        <w:tc>
          <w:tcPr>
            <w:tcW w:w="1372"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40</w:t>
            </w:r>
          </w:p>
        </w:tc>
        <w:tc>
          <w:tcPr>
            <w:tcW w:w="1372" w:type="dxa"/>
            <w:noWrap w:val="0"/>
            <w:vAlign w:val="top"/>
          </w:tcPr>
          <w:p>
            <w:pPr>
              <w:pStyle w:val="28"/>
              <w:spacing w:line="259" w:lineRule="auto"/>
              <w:rPr>
                <w:rFonts w:ascii="Times New Roman" w:hAnsi="Times New Roman"/>
                <w:b w:val="0"/>
                <w:bCs/>
                <w:caps/>
                <w:sz w:val="21"/>
                <w:szCs w:val="21"/>
                <w:lang w:val="en-GB"/>
              </w:rPr>
            </w:pPr>
          </w:p>
        </w:tc>
        <w:tc>
          <w:tcPr>
            <w:tcW w:w="1260" w:type="dxa"/>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60</w:t>
            </w:r>
          </w:p>
        </w:tc>
        <w:tc>
          <w:tcPr>
            <w:tcW w:w="1260" w:type="dxa"/>
            <w:noWrap w:val="0"/>
            <w:vAlign w:val="top"/>
          </w:tcPr>
          <w:p>
            <w:pPr>
              <w:pStyle w:val="28"/>
              <w:spacing w:line="259" w:lineRule="auto"/>
              <w:rPr>
                <w:rFonts w:ascii="Times New Roman" w:hAnsi="Times New Roman"/>
                <w:b w:val="0"/>
                <w:bCs/>
                <w:caps/>
                <w:sz w:val="21"/>
                <w:szCs w:val="21"/>
                <w:lang w:val="en-GB"/>
              </w:rPr>
            </w:pPr>
          </w:p>
        </w:tc>
        <w:tc>
          <w:tcPr>
            <w:tcW w:w="667" w:type="dxa"/>
            <w:gridSpan w:val="2"/>
            <w:noWrap w:val="0"/>
            <w:vAlign w:val="top"/>
          </w:tcPr>
          <w:p>
            <w:pPr>
              <w:pStyle w:val="28"/>
              <w:spacing w:line="259" w:lineRule="auto"/>
              <w:rPr>
                <w:rFonts w:ascii="Times New Roman" w:hAnsi="Times New Roman"/>
                <w:b w:val="0"/>
                <w:bCs/>
                <w:caps/>
                <w:sz w:val="21"/>
                <w:szCs w:val="21"/>
                <w:lang w:val="en-GB"/>
              </w:rPr>
            </w:pPr>
            <w:r>
              <w:rPr>
                <w:rFonts w:ascii="Times New Roman" w:hAnsi="Times New Roman"/>
                <w:b w:val="0"/>
                <w:bCs/>
                <w:caps/>
                <w:sz w:val="21"/>
                <w:szCs w:val="21"/>
                <w:lang w:val="en-GB"/>
              </w:rPr>
              <w:t>100</w:t>
            </w:r>
          </w:p>
        </w:tc>
      </w:tr>
      <w:bookmarkEnd w:id="0"/>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eastAsia="Times New Roman"/>
                <w:color w:val="000000"/>
                <w:sz w:val="21"/>
                <w:szCs w:val="21"/>
                <w:lang w:eastAsia="en-IN"/>
              </w:rPr>
              <w:t>Article Writing: Introduction,  Good Publication Practices</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eastAsia="Times New Roman"/>
                <w:bCs/>
                <w:color w:val="000000"/>
                <w:sz w:val="21"/>
                <w:szCs w:val="21"/>
                <w:shd w:val="clear" w:color="auto" w:fill="FFFFFF"/>
                <w:lang w:eastAsia="en-IN"/>
              </w:rPr>
              <w:t>Writing article</w:t>
            </w:r>
            <w:r>
              <w:rPr>
                <w:rFonts w:ascii="Times New Roman" w:hAnsi="Times New Roman" w:eastAsia="Times New Roman"/>
                <w:b/>
                <w:bCs/>
                <w:color w:val="000000"/>
                <w:sz w:val="21"/>
                <w:szCs w:val="21"/>
                <w:shd w:val="clear" w:color="auto" w:fill="FFFFFF"/>
                <w:lang w:eastAsia="en-IN"/>
              </w:rPr>
              <w:t xml:space="preserve"> </w:t>
            </w:r>
            <w:r>
              <w:rPr>
                <w:rFonts w:ascii="Times New Roman" w:hAnsi="Times New Roman" w:eastAsia="Times New Roman"/>
                <w:b/>
                <w:bCs/>
                <w:color w:val="000000"/>
                <w:sz w:val="21"/>
                <w:szCs w:val="21"/>
                <w:shd w:val="clear" w:color="auto" w:fill="FFFFFF"/>
                <w:lang w:eastAsia="en-IN"/>
              </w:rPr>
              <w:tab/>
            </w:r>
            <w:r>
              <w:rPr>
                <w:rFonts w:ascii="Times New Roman" w:hAnsi="Times New Roman" w:eastAsia="Times New Roman"/>
                <w:b/>
                <w:bCs/>
                <w:color w:val="000000"/>
                <w:sz w:val="21"/>
                <w:szCs w:val="21"/>
                <w:shd w:val="clear" w:color="auto" w:fill="FFFFFF"/>
                <w:lang w:eastAsia="en-IN"/>
              </w:rPr>
              <w:t xml:space="preserve">: </w:t>
            </w:r>
            <w:r>
              <w:rPr>
                <w:rFonts w:ascii="Times New Roman" w:hAnsi="Times New Roman" w:eastAsia="Times New Roman"/>
                <w:color w:val="000000"/>
                <w:sz w:val="21"/>
                <w:szCs w:val="21"/>
                <w:lang w:eastAsia="en-IN"/>
              </w:rPr>
              <w:t>Literature search</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hd w:val="clear" w:color="auto" w:fill="FFFFFF"/>
              <w:spacing w:after="0" w:line="240" w:lineRule="auto"/>
              <w:ind w:left="79"/>
              <w:rPr>
                <w:rFonts w:ascii="Times New Roman" w:hAnsi="Times New Roman" w:eastAsia="Times New Roman"/>
                <w:color w:val="000000"/>
                <w:sz w:val="21"/>
                <w:szCs w:val="21"/>
                <w:lang w:eastAsia="en-IN"/>
              </w:rPr>
            </w:pPr>
            <w:r>
              <w:rPr>
                <w:rFonts w:ascii="Times New Roman" w:hAnsi="Times New Roman" w:eastAsia="Times New Roman"/>
                <w:color w:val="000000"/>
                <w:sz w:val="21"/>
                <w:szCs w:val="21"/>
                <w:lang w:eastAsia="en-IN"/>
              </w:rPr>
              <w:t>plagiarism software</w:t>
            </w:r>
          </w:p>
          <w:p>
            <w:pPr>
              <w:jc w:val="both"/>
              <w:rPr>
                <w:rFonts w:ascii="Arial" w:hAnsi="Arial" w:cs="Arial"/>
                <w:i/>
              </w:rPr>
            </w:pP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shd w:val="clear" w:color="auto" w:fill="FFFFFF"/>
              <w:spacing w:after="0" w:line="240" w:lineRule="auto"/>
              <w:ind w:left="79"/>
              <w:rPr>
                <w:rFonts w:ascii="Times New Roman" w:hAnsi="Times New Roman" w:eastAsia="Times New Roman"/>
                <w:color w:val="000000"/>
                <w:sz w:val="21"/>
                <w:szCs w:val="21"/>
                <w:lang w:eastAsia="en-IN"/>
              </w:rPr>
            </w:pPr>
            <w:r>
              <w:rPr>
                <w:rFonts w:ascii="Times New Roman" w:hAnsi="Times New Roman" w:eastAsia="Times New Roman"/>
                <w:color w:val="000000"/>
                <w:sz w:val="21"/>
                <w:szCs w:val="21"/>
                <w:lang w:eastAsia="en-IN"/>
              </w:rPr>
              <w:t>Common technical document (CTD) dossier writing</w:t>
            </w:r>
          </w:p>
          <w:p>
            <w:pPr>
              <w:jc w:val="both"/>
              <w:rPr>
                <w:rFonts w:ascii="Arial" w:hAnsi="Arial" w:cs="Arial"/>
              </w:rPr>
            </w:pP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rPr>
                <w:rFonts w:ascii="Arial" w:hAnsi="Arial" w:cs="Arial"/>
              </w:rPr>
            </w:pPr>
            <w:r>
              <w:rPr>
                <w:rFonts w:ascii="Times New Roman" w:hAnsi="Times New Roman" w:eastAsia="Times New Roman"/>
                <w:color w:val="000000"/>
                <w:sz w:val="21"/>
                <w:szCs w:val="21"/>
                <w:lang w:eastAsia="en-IN"/>
              </w:rPr>
              <w:t>Clinical study report</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eastAsia="Times New Roman"/>
                <w:color w:val="000000"/>
                <w:sz w:val="21"/>
                <w:szCs w:val="21"/>
                <w:lang w:eastAsia="en-IN"/>
              </w:rPr>
              <w:t>PSUR</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eastAsia="Times New Roman"/>
                <w:color w:val="000000"/>
                <w:sz w:val="21"/>
                <w:szCs w:val="21"/>
                <w:lang w:eastAsia="en-IN"/>
              </w:rPr>
              <w:t>DSUR</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eastAsia="Times New Roman"/>
                <w:color w:val="000000"/>
                <w:sz w:val="21"/>
                <w:szCs w:val="21"/>
                <w:lang w:eastAsia="en-IN"/>
              </w:rPr>
              <w:t xml:space="preserve">Article writing : Exercises and examples, </w:t>
            </w:r>
            <w:r>
              <w:rPr>
                <w:rFonts w:ascii="Times New Roman" w:hAnsi="Times New Roman" w:eastAsia="Times New Roman"/>
                <w:color w:val="000000"/>
                <w:sz w:val="21"/>
                <w:szCs w:val="21"/>
                <w:shd w:val="clear" w:color="auto" w:fill="FFFFFF"/>
                <w:lang w:eastAsia="en-IN"/>
              </w:rPr>
              <w:t>Article submission</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i/>
              </w:rPr>
            </w:pPr>
            <w:r>
              <w:rPr>
                <w:rFonts w:ascii="Times New Roman" w:hAnsi="Times New Roman" w:eastAsia="Times New Roman"/>
                <w:color w:val="000000"/>
                <w:sz w:val="21"/>
                <w:szCs w:val="21"/>
                <w:lang w:eastAsia="en-IN"/>
              </w:rPr>
              <w:t>SAE reporting</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eastAsia="Times New Roman"/>
                <w:color w:val="000000"/>
                <w:sz w:val="21"/>
                <w:szCs w:val="21"/>
                <w:lang w:eastAsia="en-IN"/>
              </w:rPr>
              <w:t>Good Publication Practices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eastAsia="Times New Roman"/>
                <w:color w:val="000000"/>
                <w:sz w:val="21"/>
                <w:szCs w:val="21"/>
                <w:lang w:eastAsia="en-IN"/>
              </w:rPr>
              <w:t>Journal quality and impact assessment of article</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r>
              <w:rPr>
                <w:rFonts w:ascii="Times New Roman" w:hAnsi="Times New Roman" w:eastAsia="Times New Roman"/>
                <w:color w:val="000000"/>
                <w:sz w:val="21"/>
                <w:szCs w:val="21"/>
                <w:lang w:eastAsia="en-IN"/>
              </w:rPr>
              <w:t>ICSR</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pPr>
    </w:p>
    <w:p>
      <w:pPr>
        <w:jc w:val="both"/>
        <w:rPr>
          <w:lang w:val="en-AU"/>
        </w:rPr>
      </w:pPr>
    </w:p>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0"/>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2</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97A"/>
    <w:multiLevelType w:val="multilevel"/>
    <w:tmpl w:val="07CA09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8D1ABF"/>
    <w:multiLevelType w:val="multilevel"/>
    <w:tmpl w:val="748D1AB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4DF1"/>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266D0"/>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279A0"/>
    <w:rsid w:val="007327E8"/>
    <w:rsid w:val="00732FA8"/>
    <w:rsid w:val="007470A6"/>
    <w:rsid w:val="007475F6"/>
    <w:rsid w:val="00751DCF"/>
    <w:rsid w:val="0075732B"/>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03EF"/>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8728D"/>
    <w:rsid w:val="00894ABB"/>
    <w:rsid w:val="00897C06"/>
    <w:rsid w:val="008A0546"/>
    <w:rsid w:val="008A2FD2"/>
    <w:rsid w:val="008A3DC1"/>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BF604B"/>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3F3"/>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26ED20C6"/>
    <w:rsid w:val="29F6481A"/>
    <w:rsid w:val="77D3DAA7"/>
    <w:rsid w:val="7FCF8AF3"/>
    <w:rsid w:val="7FFFB0C9"/>
    <w:rsid w:val="8C3DB24A"/>
    <w:rsid w:val="9BEDDE7E"/>
    <w:rsid w:val="BD7FB25A"/>
    <w:rsid w:val="D6B653BA"/>
    <w:rsid w:val="E1EF3F5B"/>
    <w:rsid w:val="E7F6E619"/>
    <w:rsid w:val="FBBB3775"/>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1479</Words>
  <Characters>8431</Characters>
  <Lines>70</Lines>
  <Paragraphs>19</Paragraphs>
  <TotalTime>0</TotalTime>
  <ScaleCrop>false</ScaleCrop>
  <LinksUpToDate>false</LinksUpToDate>
  <CharactersWithSpaces>9891</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2020-06-17T04:21:00Z</dcterms:created>
  <dc:creator>Sandeep Chakravorty</dc:creator>
  <cp:lastModifiedBy>faculty</cp:lastModifiedBy>
  <cp:lastPrinted>2018-07-10T10:31:00Z</cp:lastPrinted>
  <dcterms:modified xsi:type="dcterms:W3CDTF">2020-06-19T12:36:36Z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