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59" w:rsidRDefault="00930E59"/>
    <w:p w:rsidR="00E72A04" w:rsidRDefault="00E72A04" w:rsidP="00E72A04">
      <w:pPr>
        <w:spacing w:after="0"/>
        <w:rPr>
          <w:b/>
          <w:sz w:val="28"/>
          <w:szCs w:val="28"/>
        </w:rPr>
      </w:pPr>
      <w:r w:rsidRPr="00E72A04">
        <w:rPr>
          <w:b/>
          <w:sz w:val="28"/>
          <w:szCs w:val="28"/>
        </w:rPr>
        <w:t xml:space="preserve">Assignment </w:t>
      </w:r>
      <w:r>
        <w:rPr>
          <w:b/>
          <w:sz w:val="28"/>
          <w:szCs w:val="28"/>
        </w:rPr>
        <w:t xml:space="preserve">No 2 </w:t>
      </w:r>
      <w:r w:rsidRPr="00E72A04">
        <w:rPr>
          <w:b/>
          <w:sz w:val="28"/>
          <w:szCs w:val="28"/>
        </w:rPr>
        <w:t>of Advance corporate accounting IMBA – semester 3</w:t>
      </w:r>
      <w:r>
        <w:rPr>
          <w:b/>
          <w:sz w:val="28"/>
          <w:szCs w:val="28"/>
        </w:rPr>
        <w:t>(Marks30)</w:t>
      </w:r>
    </w:p>
    <w:p w:rsidR="00E72A04" w:rsidRDefault="00E72A04" w:rsidP="00E72A04">
      <w:pPr>
        <w:spacing w:after="0"/>
        <w:jc w:val="right"/>
        <w:rPr>
          <w:b/>
          <w:sz w:val="28"/>
          <w:szCs w:val="28"/>
        </w:rPr>
      </w:pPr>
      <w:r>
        <w:rPr>
          <w:b/>
          <w:sz w:val="28"/>
          <w:szCs w:val="28"/>
        </w:rPr>
        <w:t>Submission Date: 6/11/2019</w:t>
      </w:r>
    </w:p>
    <w:p w:rsidR="00E72A04" w:rsidRDefault="00E72A04" w:rsidP="00E72A04">
      <w:pPr>
        <w:spacing w:after="0"/>
        <w:jc w:val="right"/>
        <w:rPr>
          <w:b/>
          <w:sz w:val="28"/>
          <w:szCs w:val="28"/>
        </w:rPr>
      </w:pPr>
    </w:p>
    <w:p w:rsidR="00506C30" w:rsidRDefault="00E72A04" w:rsidP="00506C30">
      <w:pPr>
        <w:pStyle w:val="NormalWeb"/>
      </w:pPr>
      <w:r>
        <w:rPr>
          <w:b/>
          <w:sz w:val="28"/>
          <w:szCs w:val="28"/>
        </w:rPr>
        <w:t xml:space="preserve">Ques 1. </w:t>
      </w:r>
      <w:r w:rsidR="00506C30">
        <w:rPr>
          <w:rStyle w:val="Strong"/>
        </w:rPr>
        <w:t xml:space="preserve">On 31st December 2004, the Balance Sheet of a Limited Company disclosed the following position: </w:t>
      </w:r>
      <w:r w:rsidR="005855BE">
        <w:rPr>
          <w:rStyle w:val="Strong"/>
        </w:rPr>
        <w:t xml:space="preserve">                                                                                            </w:t>
      </w:r>
      <w:proofErr w:type="gramStart"/>
      <w:r w:rsidR="005855BE">
        <w:rPr>
          <w:rStyle w:val="Strong"/>
        </w:rPr>
        <w:t>( 8</w:t>
      </w:r>
      <w:proofErr w:type="gramEnd"/>
      <w:r w:rsidR="005855BE">
        <w:rPr>
          <w:rStyle w:val="Strong"/>
        </w:rPr>
        <w:t xml:space="preserve"> Marks)</w:t>
      </w:r>
    </w:p>
    <w:p w:rsidR="00506C30" w:rsidRDefault="00506C30" w:rsidP="00506C30">
      <w:pPr>
        <w:pStyle w:val="NormalWeb"/>
      </w:pPr>
      <w:r>
        <w:rPr>
          <w:noProof/>
          <w:color w:val="0000FF"/>
        </w:rPr>
        <w:drawing>
          <wp:inline distT="0" distB="0" distL="0" distR="0">
            <wp:extent cx="5249545" cy="1388110"/>
            <wp:effectExtent l="19050" t="0" r="8255" b="0"/>
            <wp:docPr id="93" name="Picture 93" descr="http://cdn.accountingnotes.net/wp-content/uploads/2017/01/clip_image073_thumb2_thumb_thum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dn.accountingnotes.net/wp-content/uploads/2017/01/clip_image073_thumb2_thumb_thumb.jpg">
                      <a:hlinkClick r:id="rId5"/>
                    </pic:cNvPr>
                    <pic:cNvPicPr>
                      <a:picLocks noChangeAspect="1" noChangeArrowheads="1"/>
                    </pic:cNvPicPr>
                  </pic:nvPicPr>
                  <pic:blipFill>
                    <a:blip r:embed="rId6"/>
                    <a:srcRect/>
                    <a:stretch>
                      <a:fillRect/>
                    </a:stretch>
                  </pic:blipFill>
                  <pic:spPr bwMode="auto">
                    <a:xfrm>
                      <a:off x="0" y="0"/>
                      <a:ext cx="5249545" cy="1388110"/>
                    </a:xfrm>
                    <a:prstGeom prst="rect">
                      <a:avLst/>
                    </a:prstGeom>
                    <a:noFill/>
                    <a:ln w="9525">
                      <a:noFill/>
                      <a:miter lim="800000"/>
                      <a:headEnd/>
                      <a:tailEnd/>
                    </a:ln>
                  </pic:spPr>
                </pic:pic>
              </a:graphicData>
            </a:graphic>
          </wp:inline>
        </w:drawing>
      </w:r>
    </w:p>
    <w:p w:rsidR="00506C30" w:rsidRDefault="00506C30" w:rsidP="00506C30">
      <w:pPr>
        <w:pStyle w:val="NormalWeb"/>
      </w:pPr>
      <w:r>
        <w:t>On 31st December 2004, the fixed assets were independently valued at Rs. 3, 50,000 and the goodwill at Rs. 50,000.</w:t>
      </w:r>
    </w:p>
    <w:p w:rsidR="00506C30" w:rsidRDefault="00506C30" w:rsidP="00506C30">
      <w:pPr>
        <w:pStyle w:val="NormalWeb"/>
      </w:pPr>
      <w:r>
        <w:rPr>
          <w:rStyle w:val="Strong"/>
        </w:rPr>
        <w:t xml:space="preserve">The net profits for the three years were: </w:t>
      </w:r>
    </w:p>
    <w:p w:rsidR="00506C30" w:rsidRDefault="00506C30" w:rsidP="00506C30">
      <w:pPr>
        <w:pStyle w:val="NormalWeb"/>
      </w:pPr>
      <w:r>
        <w:t>2002 Rs. 51,600; 2003 Rs. 52,000 and 2004 Rs. 51.650 of which 20% was placed to Reserve Account and this proportion being considered reasonable in the industry in which the Company is engaged and where a fair investment return may be taken at 10%. Compute the value of the Company’s share by (a) the Assets Method and (b) the Yield Method.</w:t>
      </w:r>
    </w:p>
    <w:p w:rsidR="00506C30" w:rsidRPr="00AC6558" w:rsidRDefault="00506C30" w:rsidP="005855BE">
      <w:pPr>
        <w:spacing w:before="100" w:beforeAutospacing="1" w:after="100" w:afterAutospacing="1" w:line="240" w:lineRule="auto"/>
        <w:jc w:val="right"/>
        <w:rPr>
          <w:rFonts w:ascii="Times New Roman" w:eastAsia="Times New Roman" w:hAnsi="Times New Roman" w:cs="Times New Roman"/>
          <w:sz w:val="24"/>
          <w:szCs w:val="24"/>
        </w:rPr>
      </w:pPr>
      <w:proofErr w:type="gramStart"/>
      <w:r>
        <w:t>Ques 2.</w:t>
      </w:r>
      <w:proofErr w:type="gramEnd"/>
      <w:r>
        <w:t xml:space="preserve"> </w:t>
      </w:r>
      <w:r w:rsidRPr="00AC6558">
        <w:rPr>
          <w:rFonts w:ascii="Times New Roman" w:eastAsia="Times New Roman" w:hAnsi="Times New Roman" w:cs="Times New Roman"/>
          <w:b/>
          <w:bCs/>
          <w:sz w:val="24"/>
          <w:szCs w:val="24"/>
        </w:rPr>
        <w:t xml:space="preserve">D. Ltd. decided to reorganize its The Balance Sheet of the company as structure following a period of adverse trading conditions on 31st Dec. 2006 showed the following: </w:t>
      </w:r>
      <w:r w:rsidR="005855BE">
        <w:rPr>
          <w:rFonts w:ascii="Times New Roman" w:eastAsia="Times New Roman" w:hAnsi="Times New Roman" w:cs="Times New Roman"/>
          <w:b/>
          <w:bCs/>
          <w:sz w:val="24"/>
          <w:szCs w:val="24"/>
        </w:rPr>
        <w:t>(8Marks)</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502910" cy="2955290"/>
            <wp:effectExtent l="19050" t="0" r="2540" b="0"/>
            <wp:docPr id="5" name="Picture 5" descr="http://cdn.accountingnotes.net/wp-content/uploads/2017/01/clip_image096_thumb8_thumb_thum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accountingnotes.net/wp-content/uploads/2017/01/clip_image096_thumb8_thumb_thumb.jpg">
                      <a:hlinkClick r:id="rId7"/>
                    </pic:cNvPr>
                    <pic:cNvPicPr>
                      <a:picLocks noChangeAspect="1" noChangeArrowheads="1"/>
                    </pic:cNvPicPr>
                  </pic:nvPicPr>
                  <pic:blipFill>
                    <a:blip r:embed="rId8"/>
                    <a:srcRect/>
                    <a:stretch>
                      <a:fillRect/>
                    </a:stretch>
                  </pic:blipFill>
                  <pic:spPr bwMode="auto">
                    <a:xfrm>
                      <a:off x="0" y="0"/>
                      <a:ext cx="5502910" cy="2955290"/>
                    </a:xfrm>
                    <a:prstGeom prst="rect">
                      <a:avLst/>
                    </a:prstGeom>
                    <a:noFill/>
                    <a:ln w="9525">
                      <a:noFill/>
                      <a:miter lim="800000"/>
                      <a:headEnd/>
                      <a:tailEnd/>
                    </a:ln>
                  </pic:spPr>
                </pic:pic>
              </a:graphicData>
            </a:graphic>
          </wp:inline>
        </w:drawing>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b/>
          <w:bCs/>
          <w:sz w:val="24"/>
          <w:szCs w:val="24"/>
        </w:rPr>
        <w:t xml:space="preserve">Note: </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Preference dividends are in arrears for four years.</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b/>
          <w:bCs/>
          <w:sz w:val="24"/>
          <w:szCs w:val="24"/>
        </w:rPr>
        <w:t xml:space="preserve">Subsequent to approval by court of a scheme for the reduction of capital, the following steps were taken: </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w:t>
      </w:r>
      <w:proofErr w:type="spellStart"/>
      <w:r w:rsidRPr="00AC6558">
        <w:rPr>
          <w:rFonts w:ascii="Times New Roman" w:eastAsia="Times New Roman" w:hAnsi="Times New Roman" w:cs="Times New Roman"/>
          <w:sz w:val="24"/>
          <w:szCs w:val="24"/>
        </w:rPr>
        <w:t>i</w:t>
      </w:r>
      <w:proofErr w:type="spellEnd"/>
      <w:r w:rsidRPr="00AC6558">
        <w:rPr>
          <w:rFonts w:ascii="Times New Roman" w:eastAsia="Times New Roman" w:hAnsi="Times New Roman" w:cs="Times New Roman"/>
          <w:sz w:val="24"/>
          <w:szCs w:val="24"/>
        </w:rPr>
        <w:t xml:space="preserve">) The preference shares were reduced to Rs 0.75 per share, and the ordinary shares to Re. 0.10 per share. After reduction the shares were consolidated into Re. 1 shares. The </w:t>
      </w:r>
      <w:proofErr w:type="spellStart"/>
      <w:r w:rsidRPr="00AC6558">
        <w:rPr>
          <w:rFonts w:ascii="Times New Roman" w:eastAsia="Times New Roman" w:hAnsi="Times New Roman" w:cs="Times New Roman"/>
          <w:sz w:val="24"/>
          <w:szCs w:val="24"/>
        </w:rPr>
        <w:t>authorised</w:t>
      </w:r>
      <w:proofErr w:type="spellEnd"/>
      <w:r w:rsidRPr="00AC6558">
        <w:rPr>
          <w:rFonts w:ascii="Times New Roman" w:eastAsia="Times New Roman" w:hAnsi="Times New Roman" w:cs="Times New Roman"/>
          <w:sz w:val="24"/>
          <w:szCs w:val="24"/>
        </w:rPr>
        <w:t xml:space="preserve"> capital was restored to 2, 00,000, 8% Cumulative Pref. Shares and 1, 50,000 ordinary shares, both of Re. 1 each.</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(ii) One new ordinary share of Re. 1 was issued for every Rs. 4 of gross preferred dividend in arrears.</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 xml:space="preserve">(iii) The balance on Security Premium Account was </w:t>
      </w:r>
      <w:proofErr w:type="spellStart"/>
      <w:r w:rsidRPr="00AC6558">
        <w:rPr>
          <w:rFonts w:ascii="Times New Roman" w:eastAsia="Times New Roman" w:hAnsi="Times New Roman" w:cs="Times New Roman"/>
          <w:sz w:val="24"/>
          <w:szCs w:val="24"/>
        </w:rPr>
        <w:t>utilised</w:t>
      </w:r>
      <w:proofErr w:type="spellEnd"/>
      <w:r w:rsidRPr="00AC6558">
        <w:rPr>
          <w:rFonts w:ascii="Times New Roman" w:eastAsia="Times New Roman" w:hAnsi="Times New Roman" w:cs="Times New Roman"/>
          <w:sz w:val="24"/>
          <w:szCs w:val="24"/>
        </w:rPr>
        <w:t>.</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(iv) The debenture holders took over the freehold property at an agreed figure of Rs 75,000 and paid the balance to the company after deducting the amount due to them,</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(v) Plant and Machinery was written down to Rs. 1, 40,000.</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(vi) Trade Investments were sold for Rs. 32,000.</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(vii) Goodwill, Preliminary Expenses, Debts of Rs. 8,600 and obsolete stock of Rs. 10,000 were written off.</w:t>
      </w:r>
    </w:p>
    <w:p w:rsidR="00506C30" w:rsidRPr="00AC6558"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lastRenderedPageBreak/>
        <w:t>(viii) A contingent liability of which no provision had been made was settled at Rs. 7,000 and of the amount Rs. 6,300 was recovered from the insurance.</w:t>
      </w:r>
    </w:p>
    <w:p w:rsidR="00506C30" w:rsidRDefault="00506C30" w:rsidP="00506C30">
      <w:pPr>
        <w:spacing w:before="100" w:beforeAutospacing="1" w:after="100" w:afterAutospacing="1" w:line="240" w:lineRule="auto"/>
        <w:rPr>
          <w:rFonts w:ascii="Times New Roman" w:eastAsia="Times New Roman" w:hAnsi="Times New Roman" w:cs="Times New Roman"/>
          <w:sz w:val="24"/>
          <w:szCs w:val="24"/>
        </w:rPr>
      </w:pPr>
      <w:r w:rsidRPr="00AC6558">
        <w:rPr>
          <w:rFonts w:ascii="Times New Roman" w:eastAsia="Times New Roman" w:hAnsi="Times New Roman" w:cs="Times New Roman"/>
          <w:sz w:val="24"/>
          <w:szCs w:val="24"/>
        </w:rPr>
        <w:t>You are required (a) to show the Journal Entries, necessary to record the above transactions in the company’s books and (b) to prepare the Balance Sheet, after completion of the scheme.</w:t>
      </w:r>
    </w:p>
    <w:p w:rsidR="00506C30" w:rsidRDefault="00506C30" w:rsidP="00506C30">
      <w:pPr>
        <w:autoSpaceDE w:val="0"/>
        <w:autoSpaceDN w:val="0"/>
        <w:adjustRightInd w:val="0"/>
        <w:spacing w:after="0" w:line="240" w:lineRule="auto"/>
        <w:rPr>
          <w:rFonts w:ascii="TimesNewRoman,Bold" w:hAnsi="TimesNewRoman,Bold" w:cs="TimesNewRoman,Bold"/>
          <w:b/>
          <w:bCs/>
          <w:color w:val="292526"/>
          <w:sz w:val="20"/>
          <w:szCs w:val="20"/>
        </w:rPr>
      </w:pPr>
      <w:r>
        <w:rPr>
          <w:rFonts w:ascii="Times New Roman" w:eastAsia="Times New Roman" w:hAnsi="Times New Roman" w:cs="Times New Roman"/>
          <w:sz w:val="24"/>
          <w:szCs w:val="24"/>
        </w:rPr>
        <w:t>Ques3.</w:t>
      </w:r>
      <w:r w:rsidRPr="00506C30">
        <w:rPr>
          <w:rFonts w:ascii="TimesNewRoman,Bold" w:hAnsi="TimesNewRoman,Bold" w:cs="TimesNewRoman,Bold"/>
          <w:b/>
          <w:bCs/>
          <w:color w:val="292526"/>
          <w:sz w:val="20"/>
          <w:szCs w:val="20"/>
        </w:rPr>
        <w:t xml:space="preserve"> </w:t>
      </w:r>
      <w:r>
        <w:rPr>
          <w:rFonts w:ascii="TimesNewRoman,Bold" w:hAnsi="TimesNewRoman,Bold" w:cs="TimesNewRoman,Bold"/>
          <w:b/>
          <w:bCs/>
          <w:color w:val="292526"/>
          <w:sz w:val="20"/>
          <w:szCs w:val="20"/>
        </w:rPr>
        <w:t>Computation of Purchase Consideration</w:t>
      </w:r>
    </w:p>
    <w:p w:rsidR="00506C30" w:rsidRPr="005855BE" w:rsidRDefault="00506C30" w:rsidP="005855BE">
      <w:pPr>
        <w:spacing w:before="100" w:beforeAutospacing="1" w:after="100" w:afterAutospacing="1" w:line="240" w:lineRule="auto"/>
        <w:jc w:val="right"/>
        <w:rPr>
          <w:rFonts w:ascii="Times New Roman" w:eastAsia="Times New Roman" w:hAnsi="Times New Roman" w:cs="Times New Roman"/>
          <w:sz w:val="24"/>
          <w:szCs w:val="24"/>
        </w:rPr>
      </w:pPr>
      <w:r>
        <w:rPr>
          <w:rFonts w:ascii="TimesNewRoman" w:hAnsi="TimesNewRoman" w:cs="TimesNewRoman"/>
          <w:color w:val="292526"/>
          <w:sz w:val="20"/>
          <w:szCs w:val="20"/>
        </w:rPr>
        <w:t xml:space="preserve">The following is the Balance Sheet of </w:t>
      </w:r>
      <w:proofErr w:type="spellStart"/>
      <w:r>
        <w:rPr>
          <w:rFonts w:ascii="TimesNewRoman" w:hAnsi="TimesNewRoman" w:cs="TimesNewRoman"/>
          <w:color w:val="292526"/>
          <w:sz w:val="20"/>
          <w:szCs w:val="20"/>
        </w:rPr>
        <w:t>Swarna</w:t>
      </w:r>
      <w:proofErr w:type="spellEnd"/>
      <w:r>
        <w:rPr>
          <w:rFonts w:ascii="TimesNewRoman" w:hAnsi="TimesNewRoman" w:cs="TimesNewRoman"/>
          <w:color w:val="292526"/>
          <w:sz w:val="20"/>
          <w:szCs w:val="20"/>
        </w:rPr>
        <w:t xml:space="preserve"> Ltd. as on 31st March:</w:t>
      </w:r>
      <w:r w:rsidR="005855BE">
        <w:rPr>
          <w:rFonts w:ascii="TimesNewRoman" w:hAnsi="TimesNewRoman" w:cs="TimesNewRoman"/>
          <w:color w:val="292526"/>
          <w:sz w:val="20"/>
          <w:szCs w:val="20"/>
        </w:rPr>
        <w:t xml:space="preserve">                                  </w:t>
      </w:r>
      <w:r w:rsidR="005855BE">
        <w:rPr>
          <w:rFonts w:ascii="Times New Roman" w:eastAsia="Times New Roman" w:hAnsi="Times New Roman" w:cs="Times New Roman"/>
          <w:b/>
          <w:bCs/>
          <w:sz w:val="24"/>
          <w:szCs w:val="24"/>
        </w:rPr>
        <w:t>(8Marks)</w:t>
      </w:r>
    </w:p>
    <w:tbl>
      <w:tblPr>
        <w:tblStyle w:val="TableGrid"/>
        <w:tblW w:w="0" w:type="auto"/>
        <w:tblLook w:val="04A0"/>
      </w:tblPr>
      <w:tblGrid>
        <w:gridCol w:w="3258"/>
        <w:gridCol w:w="1530"/>
        <w:gridCol w:w="3420"/>
        <w:gridCol w:w="1368"/>
      </w:tblGrid>
      <w:tr w:rsidR="00112BAF" w:rsidTr="00112BAF">
        <w:tc>
          <w:tcPr>
            <w:tcW w:w="325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20"/>
                <w:szCs w:val="20"/>
              </w:rPr>
              <w:t>Liabilities</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20"/>
                <w:szCs w:val="20"/>
              </w:rPr>
              <w:t>Amount</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20"/>
                <w:szCs w:val="20"/>
              </w:rPr>
              <w:t>Assets</w:t>
            </w: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20"/>
                <w:szCs w:val="20"/>
              </w:rPr>
              <w:t>Amount</w:t>
            </w:r>
          </w:p>
        </w:tc>
      </w:tr>
      <w:tr w:rsidR="00112BAF" w:rsidTr="00112BAF">
        <w:tc>
          <w:tcPr>
            <w:tcW w:w="3258" w:type="dxa"/>
          </w:tcPr>
          <w:p w:rsidR="00112BAF" w:rsidRDefault="00112BAF" w:rsidP="00112BAF">
            <w:pPr>
              <w:autoSpaceDE w:val="0"/>
              <w:autoSpaceDN w:val="0"/>
              <w:adjustRightInd w:val="0"/>
              <w:rPr>
                <w:rFonts w:ascii="TimesNewRoman" w:hAnsi="TimesNewRoman" w:cs="TimesNewRoman"/>
                <w:color w:val="292526"/>
                <w:sz w:val="18"/>
                <w:szCs w:val="18"/>
              </w:rPr>
            </w:pPr>
            <w:r>
              <w:rPr>
                <w:rFonts w:ascii="TimesNewRoman" w:hAnsi="TimesNewRoman" w:cs="TimesNewRoman"/>
                <w:color w:val="292526"/>
                <w:sz w:val="18"/>
                <w:szCs w:val="18"/>
              </w:rPr>
              <w:t xml:space="preserve">14,000 Equity Shares of Rs. 100 </w:t>
            </w:r>
          </w:p>
          <w:p w:rsidR="00112BAF" w:rsidRDefault="00112BAF" w:rsidP="00112BAF">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each fully paid</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14,00,000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Sundry Assets</w:t>
            </w:r>
          </w:p>
        </w:tc>
        <w:tc>
          <w:tcPr>
            <w:tcW w:w="1368" w:type="dxa"/>
          </w:tcPr>
          <w:p w:rsidR="00112BAF" w:rsidRDefault="00112BAF" w:rsidP="00112BAF">
            <w:pPr>
              <w:autoSpaceDE w:val="0"/>
              <w:autoSpaceDN w:val="0"/>
              <w:adjustRightInd w:val="0"/>
              <w:rPr>
                <w:rFonts w:ascii="TimesNewRoman" w:hAnsi="TimesNewRoman" w:cs="TimesNewRoman"/>
                <w:color w:val="292526"/>
                <w:sz w:val="18"/>
                <w:szCs w:val="18"/>
              </w:rPr>
            </w:pPr>
            <w:r>
              <w:rPr>
                <w:rFonts w:ascii="TimesNewRoman" w:hAnsi="TimesNewRoman" w:cs="TimesNewRoman"/>
                <w:color w:val="292526"/>
                <w:sz w:val="18"/>
                <w:szCs w:val="18"/>
              </w:rPr>
              <w:t>18,00,000</w:t>
            </w:r>
          </w:p>
          <w:p w:rsidR="00112BAF" w:rsidRDefault="00112BAF" w:rsidP="00506C30">
            <w:pPr>
              <w:autoSpaceDE w:val="0"/>
              <w:autoSpaceDN w:val="0"/>
              <w:adjustRightInd w:val="0"/>
              <w:rPr>
                <w:rFonts w:ascii="TimesNewRoman" w:hAnsi="TimesNewRoman" w:cs="TimesNewRoman"/>
                <w:color w:val="292526"/>
                <w:sz w:val="20"/>
                <w:szCs w:val="20"/>
              </w:rPr>
            </w:pPr>
          </w:p>
        </w:tc>
      </w:tr>
      <w:tr w:rsidR="00112BAF" w:rsidTr="00112BAF">
        <w:tc>
          <w:tcPr>
            <w:tcW w:w="325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General Reserve</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10,000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Discount on issue of Debentures</w:t>
            </w: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10,000</w:t>
            </w:r>
          </w:p>
        </w:tc>
      </w:tr>
      <w:tr w:rsidR="00112BAF" w:rsidTr="00112BAF">
        <w:tc>
          <w:tcPr>
            <w:tcW w:w="325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10% Debentures</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2,00,000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Preliminary Expenses</w:t>
            </w: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30,000</w:t>
            </w:r>
          </w:p>
        </w:tc>
      </w:tr>
      <w:tr w:rsidR="00112BAF" w:rsidTr="00112BAF">
        <w:tc>
          <w:tcPr>
            <w:tcW w:w="325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Sundry Creditors</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2,00,000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Profit &amp; Loss A/c</w:t>
            </w: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60,000</w:t>
            </w:r>
          </w:p>
        </w:tc>
      </w:tr>
      <w:tr w:rsidR="00112BAF" w:rsidTr="00112BAF">
        <w:tc>
          <w:tcPr>
            <w:tcW w:w="325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Bank Overdraft</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20"/>
                <w:szCs w:val="20"/>
              </w:rPr>
              <w:t xml:space="preserve">   </w:t>
            </w:r>
            <w:r>
              <w:rPr>
                <w:rFonts w:ascii="TimesNewRoman" w:hAnsi="TimesNewRoman" w:cs="TimesNewRoman"/>
                <w:color w:val="292526"/>
                <w:sz w:val="18"/>
                <w:szCs w:val="18"/>
              </w:rPr>
              <w:t>50,000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p>
        </w:tc>
      </w:tr>
      <w:tr w:rsidR="00112BAF" w:rsidTr="00112BAF">
        <w:tc>
          <w:tcPr>
            <w:tcW w:w="3258" w:type="dxa"/>
          </w:tcPr>
          <w:p w:rsidR="00112BAF" w:rsidRPr="00112BAF" w:rsidRDefault="00112BAF" w:rsidP="00506C30">
            <w:pPr>
              <w:autoSpaceDE w:val="0"/>
              <w:autoSpaceDN w:val="0"/>
              <w:adjustRightInd w:val="0"/>
              <w:rPr>
                <w:rFonts w:ascii="TimesNewRoman" w:hAnsi="TimesNewRoman" w:cs="TimesNewRoman"/>
                <w:color w:val="292526"/>
                <w:sz w:val="18"/>
                <w:szCs w:val="18"/>
              </w:rPr>
            </w:pPr>
            <w:r>
              <w:rPr>
                <w:rFonts w:ascii="TimesNewRoman" w:hAnsi="TimesNewRoman" w:cs="TimesNewRoman"/>
                <w:color w:val="292526"/>
                <w:sz w:val="18"/>
                <w:szCs w:val="18"/>
              </w:rPr>
              <w:t xml:space="preserve">Bills Payable </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20"/>
                <w:szCs w:val="20"/>
              </w:rPr>
              <w:t xml:space="preserve">   </w:t>
            </w:r>
            <w:r>
              <w:rPr>
                <w:rFonts w:ascii="TimesNewRoman" w:hAnsi="TimesNewRoman" w:cs="TimesNewRoman"/>
                <w:color w:val="292526"/>
                <w:sz w:val="18"/>
                <w:szCs w:val="18"/>
              </w:rPr>
              <w:t>40,000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p>
        </w:tc>
      </w:tr>
      <w:tr w:rsidR="00112BAF" w:rsidTr="00112BAF">
        <w:tc>
          <w:tcPr>
            <w:tcW w:w="3258" w:type="dxa"/>
          </w:tcPr>
          <w:p w:rsidR="00112BAF" w:rsidRDefault="00112BAF" w:rsidP="00506C30">
            <w:pPr>
              <w:autoSpaceDE w:val="0"/>
              <w:autoSpaceDN w:val="0"/>
              <w:adjustRightInd w:val="0"/>
              <w:rPr>
                <w:rFonts w:ascii="TimesNewRoman" w:hAnsi="TimesNewRoman" w:cs="TimesNewRoman"/>
                <w:color w:val="292526"/>
                <w:sz w:val="18"/>
                <w:szCs w:val="18"/>
              </w:rPr>
            </w:pPr>
            <w:r>
              <w:rPr>
                <w:rFonts w:ascii="TimesNewRoman" w:hAnsi="TimesNewRoman" w:cs="TimesNewRoman"/>
                <w:color w:val="292526"/>
                <w:sz w:val="18"/>
                <w:szCs w:val="18"/>
              </w:rPr>
              <w:t>Total</w:t>
            </w:r>
          </w:p>
        </w:tc>
        <w:tc>
          <w:tcPr>
            <w:tcW w:w="153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19,00,000</w:t>
            </w:r>
          </w:p>
        </w:tc>
        <w:tc>
          <w:tcPr>
            <w:tcW w:w="3420"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Total</w:t>
            </w:r>
          </w:p>
        </w:tc>
        <w:tc>
          <w:tcPr>
            <w:tcW w:w="1368" w:type="dxa"/>
          </w:tcPr>
          <w:p w:rsidR="00112BAF" w:rsidRDefault="00112BAF" w:rsidP="00506C30">
            <w:pPr>
              <w:autoSpaceDE w:val="0"/>
              <w:autoSpaceDN w:val="0"/>
              <w:adjustRightInd w:val="0"/>
              <w:rPr>
                <w:rFonts w:ascii="TimesNewRoman" w:hAnsi="TimesNewRoman" w:cs="TimesNewRoman"/>
                <w:color w:val="292526"/>
                <w:sz w:val="20"/>
                <w:szCs w:val="20"/>
              </w:rPr>
            </w:pPr>
            <w:r>
              <w:rPr>
                <w:rFonts w:ascii="TimesNewRoman" w:hAnsi="TimesNewRoman" w:cs="TimesNewRoman"/>
                <w:color w:val="292526"/>
                <w:sz w:val="18"/>
                <w:szCs w:val="18"/>
              </w:rPr>
              <w:t>19,00,000</w:t>
            </w:r>
          </w:p>
        </w:tc>
      </w:tr>
    </w:tbl>
    <w:p w:rsidR="00112BAF" w:rsidRDefault="00112BAF" w:rsidP="00506C30">
      <w:pPr>
        <w:autoSpaceDE w:val="0"/>
        <w:autoSpaceDN w:val="0"/>
        <w:adjustRightInd w:val="0"/>
        <w:spacing w:after="0" w:line="240" w:lineRule="auto"/>
        <w:rPr>
          <w:rFonts w:ascii="TimesNewRoman" w:hAnsi="TimesNewRoman" w:cs="TimesNewRoman"/>
          <w:color w:val="292526"/>
          <w:sz w:val="20"/>
          <w:szCs w:val="20"/>
        </w:rPr>
      </w:pPr>
    </w:p>
    <w:p w:rsidR="00506C30" w:rsidRDefault="00506C30" w:rsidP="00506C30">
      <w:pPr>
        <w:autoSpaceDE w:val="0"/>
        <w:autoSpaceDN w:val="0"/>
        <w:adjustRightInd w:val="0"/>
        <w:spacing w:after="0" w:line="240" w:lineRule="auto"/>
        <w:rPr>
          <w:rFonts w:ascii="TimesNewRoman" w:hAnsi="TimesNewRoman" w:cs="TimesNewRoman"/>
          <w:color w:val="292526"/>
          <w:sz w:val="20"/>
          <w:szCs w:val="20"/>
        </w:rPr>
      </w:pPr>
      <w:proofErr w:type="spellStart"/>
      <w:r>
        <w:rPr>
          <w:rFonts w:ascii="TimesNewRoman" w:hAnsi="TimesNewRoman" w:cs="TimesNewRoman"/>
          <w:color w:val="292526"/>
          <w:sz w:val="20"/>
          <w:szCs w:val="20"/>
        </w:rPr>
        <w:t>Rajata</w:t>
      </w:r>
      <w:proofErr w:type="spellEnd"/>
      <w:r>
        <w:rPr>
          <w:rFonts w:ascii="TimesNewRoman" w:hAnsi="TimesNewRoman" w:cs="TimesNewRoman"/>
          <w:color w:val="292526"/>
          <w:sz w:val="20"/>
          <w:szCs w:val="20"/>
        </w:rPr>
        <w:t xml:space="preserve"> Ltd. agreed to take over the business of </w:t>
      </w:r>
      <w:proofErr w:type="spellStart"/>
      <w:r>
        <w:rPr>
          <w:rFonts w:ascii="TimesNewRoman" w:hAnsi="TimesNewRoman" w:cs="TimesNewRoman"/>
          <w:color w:val="292526"/>
          <w:sz w:val="20"/>
          <w:szCs w:val="20"/>
        </w:rPr>
        <w:t>Swarna</w:t>
      </w:r>
      <w:proofErr w:type="spellEnd"/>
      <w:r>
        <w:rPr>
          <w:rFonts w:ascii="TimesNewRoman" w:hAnsi="TimesNewRoman" w:cs="TimesNewRoman"/>
          <w:color w:val="292526"/>
          <w:sz w:val="20"/>
          <w:szCs w:val="20"/>
        </w:rPr>
        <w:t xml:space="preserve"> Ltd. Calculate Purchase Consideration under</w:t>
      </w:r>
    </w:p>
    <w:p w:rsidR="00506C30" w:rsidRDefault="00506C30" w:rsidP="00506C30">
      <w:pPr>
        <w:autoSpaceDE w:val="0"/>
        <w:autoSpaceDN w:val="0"/>
        <w:adjustRightInd w:val="0"/>
        <w:spacing w:after="0" w:line="240" w:lineRule="auto"/>
        <w:rPr>
          <w:rFonts w:ascii="TimesNewRoman" w:hAnsi="TimesNewRoman" w:cs="TimesNewRoman"/>
          <w:color w:val="292526"/>
          <w:sz w:val="20"/>
          <w:szCs w:val="20"/>
        </w:rPr>
      </w:pPr>
      <w:proofErr w:type="gramStart"/>
      <w:r>
        <w:rPr>
          <w:rFonts w:ascii="TimesNewRoman" w:hAnsi="TimesNewRoman" w:cs="TimesNewRoman"/>
          <w:color w:val="292526"/>
          <w:sz w:val="20"/>
          <w:szCs w:val="20"/>
        </w:rPr>
        <w:t>Net Assets Method.</w:t>
      </w:r>
      <w:proofErr w:type="gramEnd"/>
      <w:r>
        <w:rPr>
          <w:rFonts w:ascii="TimesNewRoman" w:hAnsi="TimesNewRoman" w:cs="TimesNewRoman"/>
          <w:color w:val="292526"/>
          <w:sz w:val="20"/>
          <w:szCs w:val="20"/>
        </w:rPr>
        <w:t xml:space="preserve"> The Market Value of 75% of the Sundry Assets is estimated to be 12% more than the</w:t>
      </w:r>
    </w:p>
    <w:p w:rsidR="00506C30" w:rsidRDefault="00506C30" w:rsidP="005855BE">
      <w:pPr>
        <w:autoSpaceDE w:val="0"/>
        <w:autoSpaceDN w:val="0"/>
        <w:adjustRightInd w:val="0"/>
        <w:spacing w:after="0" w:line="240" w:lineRule="auto"/>
        <w:rPr>
          <w:rFonts w:ascii="TimesNewRoman" w:hAnsi="TimesNewRoman" w:cs="TimesNewRoman"/>
          <w:color w:val="292526"/>
          <w:sz w:val="20"/>
          <w:szCs w:val="20"/>
        </w:rPr>
      </w:pPr>
      <w:r>
        <w:rPr>
          <w:rFonts w:ascii="TimesNewRoman" w:hAnsi="TimesNewRoman" w:cs="TimesNewRoman"/>
          <w:color w:val="292526"/>
          <w:sz w:val="20"/>
          <w:szCs w:val="20"/>
        </w:rPr>
        <w:t>Book Value and that of the remaining 25% at 8% less than the Book Value. The Liabilities are taken over at</w:t>
      </w:r>
      <w:r w:rsidR="005855BE">
        <w:rPr>
          <w:rFonts w:ascii="TimesNewRoman" w:hAnsi="TimesNewRoman" w:cs="TimesNewRoman"/>
          <w:color w:val="292526"/>
          <w:sz w:val="20"/>
          <w:szCs w:val="20"/>
        </w:rPr>
        <w:t xml:space="preserve"> </w:t>
      </w:r>
      <w:r>
        <w:rPr>
          <w:rFonts w:ascii="TimesNewRoman" w:hAnsi="TimesNewRoman" w:cs="TimesNewRoman"/>
          <w:color w:val="292526"/>
          <w:sz w:val="20"/>
          <w:szCs w:val="20"/>
        </w:rPr>
        <w:t>Book Values. There is an unrecorded liability of Rs. 25,000.</w:t>
      </w:r>
    </w:p>
    <w:p w:rsidR="004B2C77" w:rsidRPr="005855BE" w:rsidRDefault="004B2C77" w:rsidP="005855BE">
      <w:pPr>
        <w:autoSpaceDE w:val="0"/>
        <w:autoSpaceDN w:val="0"/>
        <w:adjustRightInd w:val="0"/>
        <w:spacing w:after="0" w:line="240" w:lineRule="auto"/>
        <w:rPr>
          <w:rFonts w:ascii="TimesNewRoman" w:hAnsi="TimesNewRoman" w:cs="TimesNewRoman"/>
          <w:color w:val="292526"/>
          <w:sz w:val="20"/>
          <w:szCs w:val="20"/>
        </w:rPr>
      </w:pPr>
    </w:p>
    <w:p w:rsidR="00506C30" w:rsidRDefault="005855BE" w:rsidP="004B2C77">
      <w:pPr>
        <w:pStyle w:val="NormalWeb"/>
        <w:spacing w:before="0" w:beforeAutospacing="0" w:after="0" w:afterAutospacing="0"/>
      </w:pPr>
      <w:r>
        <w:t xml:space="preserve">Ques 4 </w:t>
      </w:r>
      <w:r w:rsidR="004B2C77">
        <w:t xml:space="preserve">                                                                                                                          (6Marks)</w:t>
      </w:r>
    </w:p>
    <w:p w:rsidR="005855BE" w:rsidRDefault="005855BE" w:rsidP="004B2C77">
      <w:pPr>
        <w:pStyle w:val="NormalWeb"/>
        <w:numPr>
          <w:ilvl w:val="0"/>
          <w:numId w:val="1"/>
        </w:numPr>
        <w:spacing w:before="0" w:beforeAutospacing="0" w:after="0" w:afterAutospacing="0"/>
      </w:pPr>
      <w:r>
        <w:t xml:space="preserve"> Define Goodwill. State the circumstances </w:t>
      </w:r>
      <w:r w:rsidR="000009BA">
        <w:t>under which</w:t>
      </w:r>
      <w:r>
        <w:t xml:space="preserve"> the need for valuation of goodwill arises in case of a joint stock company.</w:t>
      </w:r>
    </w:p>
    <w:p w:rsidR="005855BE" w:rsidRDefault="00531D62" w:rsidP="004B2C77">
      <w:pPr>
        <w:pStyle w:val="NormalWeb"/>
        <w:numPr>
          <w:ilvl w:val="0"/>
          <w:numId w:val="1"/>
        </w:numPr>
        <w:spacing w:before="0" w:beforeAutospacing="0" w:after="0" w:afterAutospacing="0"/>
      </w:pPr>
      <w:r>
        <w:t>Enumerate the distinguishing features of ‘Pooling of interest method’ and ‘purchase method’</w:t>
      </w:r>
      <w:r w:rsidR="000009BA">
        <w:t xml:space="preserve"> </w:t>
      </w:r>
      <w:proofErr w:type="gramStart"/>
      <w:r w:rsidR="000009BA">
        <w:t xml:space="preserve">of  </w:t>
      </w:r>
      <w:r>
        <w:t>accounting</w:t>
      </w:r>
      <w:proofErr w:type="gramEnd"/>
      <w:r>
        <w:t xml:space="preserve"> for amalgamation.</w:t>
      </w:r>
    </w:p>
    <w:p w:rsidR="00531D62" w:rsidRDefault="00531D62" w:rsidP="004B2C77">
      <w:pPr>
        <w:pStyle w:val="NormalWeb"/>
        <w:numPr>
          <w:ilvl w:val="0"/>
          <w:numId w:val="1"/>
        </w:numPr>
        <w:spacing w:before="0" w:beforeAutospacing="0" w:after="0" w:afterAutospacing="0"/>
      </w:pPr>
      <w:r>
        <w:t>Differenti</w:t>
      </w:r>
      <w:r w:rsidR="000009BA">
        <w:t>ate between</w:t>
      </w:r>
      <w:r>
        <w:t>: External Reconstruction and Internal Reconstruction.</w:t>
      </w:r>
    </w:p>
    <w:p w:rsidR="00E72A04" w:rsidRPr="00E72A04" w:rsidRDefault="00E72A04" w:rsidP="004B2C77">
      <w:pPr>
        <w:spacing w:after="0"/>
        <w:rPr>
          <w:b/>
          <w:sz w:val="28"/>
          <w:szCs w:val="28"/>
        </w:rPr>
      </w:pPr>
    </w:p>
    <w:sectPr w:rsidR="00E72A04" w:rsidRPr="00E72A04" w:rsidSect="00930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FA7"/>
    <w:multiLevelType w:val="hybridMultilevel"/>
    <w:tmpl w:val="DEBED910"/>
    <w:lvl w:ilvl="0" w:tplc="0E9834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20"/>
  <w:characterSpacingControl w:val="doNotCompress"/>
  <w:compat/>
  <w:rsids>
    <w:rsidRoot w:val="00E72A04"/>
    <w:rsid w:val="000009BA"/>
    <w:rsid w:val="00112BAF"/>
    <w:rsid w:val="001B58AE"/>
    <w:rsid w:val="004B2C77"/>
    <w:rsid w:val="00506C30"/>
    <w:rsid w:val="00531D62"/>
    <w:rsid w:val="005855BE"/>
    <w:rsid w:val="00930E59"/>
    <w:rsid w:val="009A240D"/>
    <w:rsid w:val="00E7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C30"/>
    <w:rPr>
      <w:b/>
      <w:bCs/>
    </w:rPr>
  </w:style>
  <w:style w:type="paragraph" w:styleId="BalloonText">
    <w:name w:val="Balloon Text"/>
    <w:basedOn w:val="Normal"/>
    <w:link w:val="BalloonTextChar"/>
    <w:uiPriority w:val="99"/>
    <w:semiHidden/>
    <w:unhideWhenUsed/>
    <w:rsid w:val="0050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30"/>
    <w:rPr>
      <w:rFonts w:ascii="Tahoma" w:hAnsi="Tahoma" w:cs="Tahoma"/>
      <w:sz w:val="16"/>
      <w:szCs w:val="16"/>
    </w:rPr>
  </w:style>
  <w:style w:type="table" w:styleId="TableGrid">
    <w:name w:val="Table Grid"/>
    <w:basedOn w:val="TableNormal"/>
    <w:uiPriority w:val="59"/>
    <w:rsid w:val="00112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dn.accountingnotes.net/wp-content/uploads/2017/01/clip_image096_thumb8_thum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dn.accountingnotes.net/wp-content/uploads/2017/01/clip_image073_thumb2_thumb-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niralidave</dc:creator>
  <cp:lastModifiedBy>niralidave</cp:lastModifiedBy>
  <cp:revision>10</cp:revision>
  <dcterms:created xsi:type="dcterms:W3CDTF">2019-10-23T07:43:00Z</dcterms:created>
  <dcterms:modified xsi:type="dcterms:W3CDTF">2019-10-23T08:35:00Z</dcterms:modified>
</cp:coreProperties>
</file>